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57EE" w:rsidRDefault="004957EE" w:rsidP="004957EE">
      <w:pPr>
        <w:jc w:val="both"/>
        <w:rPr>
          <w:b/>
        </w:rPr>
      </w:pPr>
      <w:r w:rsidRPr="008B79F9">
        <w:rPr>
          <w:b/>
        </w:rPr>
        <w:t>De conformidad con las disposiciones del artículo 113 del Reglamento de la Asamblea Legislativa, el Departamento Secretaría del Directorio incorpora el presente texto al Sistema de Información Legislativa (SIL), de acuerdo con la versión electrónica suministrada</w:t>
      </w:r>
      <w:r>
        <w:rPr>
          <w:b/>
        </w:rPr>
        <w:t>.</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r w:rsidRPr="003A5530">
        <w:rPr>
          <w:rFonts w:ascii="Arial" w:eastAsia="Calibri" w:hAnsi="Arial" w:cs="Arial"/>
          <w:b/>
          <w:noProof/>
          <w:sz w:val="24"/>
          <w:szCs w:val="24"/>
          <w:lang w:eastAsia="es-ES"/>
        </w:rPr>
        <w:t>ASAMBLEA LEGISLATIVA DE LA REPÚBLICA DE COSTA RICA</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r w:rsidRPr="003A5530">
        <w:rPr>
          <w:rFonts w:ascii="Arial" w:eastAsia="Calibri" w:hAnsi="Arial" w:cs="Arial"/>
          <w:b/>
          <w:noProof/>
          <w:sz w:val="24"/>
          <w:szCs w:val="24"/>
          <w:lang w:eastAsia="es-ES"/>
        </w:rPr>
        <w:t>PROYECTO DE LEY</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textAlignment w:val="baseline"/>
        <w:rPr>
          <w:rFonts w:ascii="Arial" w:eastAsia="Calibri" w:hAnsi="Arial" w:cs="Arial"/>
          <w:b/>
          <w:noProof/>
          <w:sz w:val="24"/>
          <w:szCs w:val="24"/>
          <w:lang w:val="es-ES" w:eastAsia="es-ES"/>
        </w:rPr>
      </w:pPr>
    </w:p>
    <w:p w:rsidR="007037D4" w:rsidRPr="003A5530" w:rsidRDefault="007037D4"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r w:rsidRPr="003A5530">
        <w:rPr>
          <w:rFonts w:ascii="Arial" w:eastAsia="Calibri" w:hAnsi="Arial" w:cs="Arial"/>
          <w:b/>
          <w:noProof/>
          <w:sz w:val="24"/>
          <w:szCs w:val="24"/>
          <w:lang w:eastAsia="es-ES"/>
        </w:rPr>
        <w:t>LEY DE ETIQUETADO FRONTAL DE ALIMENTOS Y BEBIDAS NO ALCOHÓLICAS, PARA FACILITAR LA COMPRENSIÓN SOBRE EL CONTENIDO DE INGREDIENTES QUE, POR SU CONSUMO EXCESIVO, REPRESENTEN RIESGOS PARA LA SALUD DE LAS PERSONAS</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r w:rsidRPr="003A5530">
        <w:rPr>
          <w:rFonts w:ascii="Arial" w:eastAsia="Calibri" w:hAnsi="Arial" w:cs="Arial"/>
          <w:b/>
          <w:noProof/>
          <w:sz w:val="24"/>
          <w:szCs w:val="24"/>
          <w:lang w:eastAsia="es-ES"/>
        </w:rPr>
        <w:t>MARÍA JOSÉ CORRALES CHACÓN</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r w:rsidRPr="003A5530">
        <w:rPr>
          <w:rFonts w:ascii="Arial" w:eastAsia="Calibri" w:hAnsi="Arial" w:cs="Arial"/>
          <w:b/>
          <w:noProof/>
          <w:sz w:val="24"/>
          <w:szCs w:val="24"/>
          <w:lang w:eastAsia="es-ES"/>
        </w:rPr>
        <w:t>DIPUTADA</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4957EE"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r>
        <w:rPr>
          <w:rFonts w:ascii="Arial" w:eastAsia="Calibri" w:hAnsi="Arial" w:cs="Arial"/>
          <w:b/>
          <w:noProof/>
          <w:sz w:val="24"/>
          <w:szCs w:val="24"/>
          <w:lang w:eastAsia="es-ES"/>
        </w:rPr>
        <w:t>EXPEDIENTE N° 22.065</w:t>
      </w:r>
      <w:r w:rsidR="007B5DEA" w:rsidRPr="003A5530">
        <w:rPr>
          <w:rFonts w:ascii="Arial" w:eastAsia="Calibri" w:hAnsi="Arial" w:cs="Arial"/>
          <w:b/>
          <w:noProof/>
          <w:sz w:val="24"/>
          <w:szCs w:val="24"/>
          <w:lang w:eastAsia="es-ES"/>
        </w:rPr>
        <w:t xml:space="preserve"> </w:t>
      </w: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pPr>
    </w:p>
    <w:p w:rsidR="007B5DEA" w:rsidRPr="003A5530" w:rsidRDefault="007B5DEA" w:rsidP="004957EE">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textAlignment w:val="baseline"/>
        <w:rPr>
          <w:rFonts w:ascii="Arial" w:eastAsia="Calibri" w:hAnsi="Arial" w:cs="Arial"/>
          <w:b/>
          <w:noProof/>
          <w:sz w:val="24"/>
          <w:szCs w:val="24"/>
          <w:lang w:eastAsia="es-ES"/>
        </w:rPr>
      </w:pPr>
    </w:p>
    <w:p w:rsidR="007B5DEA" w:rsidRPr="003A5530" w:rsidRDefault="007B5DEA" w:rsidP="003A5530">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360" w:lineRule="auto"/>
        <w:jc w:val="center"/>
        <w:textAlignment w:val="baseline"/>
        <w:rPr>
          <w:rFonts w:ascii="Arial" w:eastAsia="Calibri" w:hAnsi="Arial" w:cs="Arial"/>
          <w:b/>
          <w:noProof/>
          <w:sz w:val="24"/>
          <w:szCs w:val="24"/>
          <w:lang w:eastAsia="es-ES"/>
        </w:rPr>
        <w:sectPr w:rsidR="007B5DEA" w:rsidRPr="003A5530" w:rsidSect="00B86EC0">
          <w:headerReference w:type="default" r:id="rId8"/>
          <w:pgSz w:w="12240" w:h="15840"/>
          <w:pgMar w:top="1418" w:right="1701" w:bottom="1418" w:left="1701" w:header="709" w:footer="709" w:gutter="0"/>
          <w:cols w:space="708"/>
          <w:titlePg/>
          <w:docGrid w:linePitch="360"/>
        </w:sectPr>
      </w:pPr>
    </w:p>
    <w:p w:rsidR="007B5DEA" w:rsidRPr="003A5530" w:rsidRDefault="007B5DEA" w:rsidP="003A5530">
      <w:pPr>
        <w:spacing w:after="0" w:line="360" w:lineRule="auto"/>
        <w:jc w:val="center"/>
        <w:rPr>
          <w:rFonts w:ascii="Arial" w:eastAsia="Times New Roman" w:hAnsi="Arial" w:cs="Arial"/>
          <w:bCs/>
          <w:sz w:val="24"/>
          <w:szCs w:val="24"/>
          <w:lang w:val="es-ES" w:eastAsia="es-ES"/>
        </w:rPr>
      </w:pPr>
      <w:r w:rsidRPr="003A5530">
        <w:rPr>
          <w:rFonts w:ascii="Arial" w:eastAsia="Times New Roman" w:hAnsi="Arial" w:cs="Arial"/>
          <w:bCs/>
          <w:sz w:val="24"/>
          <w:szCs w:val="24"/>
          <w:lang w:val="es-ES" w:eastAsia="es-ES"/>
        </w:rPr>
        <w:lastRenderedPageBreak/>
        <w:t>PROYECTO DE LEY</w:t>
      </w:r>
    </w:p>
    <w:p w:rsidR="007037D4" w:rsidRPr="003A5530" w:rsidRDefault="007037D4" w:rsidP="003A5530">
      <w:pPr>
        <w:spacing w:after="0" w:line="360" w:lineRule="auto"/>
        <w:jc w:val="center"/>
        <w:rPr>
          <w:rFonts w:ascii="Arial" w:eastAsia="Times New Roman" w:hAnsi="Arial" w:cs="Arial"/>
          <w:bCs/>
          <w:sz w:val="24"/>
          <w:szCs w:val="24"/>
          <w:lang w:val="es-ES" w:eastAsia="es-ES"/>
        </w:rPr>
      </w:pPr>
    </w:p>
    <w:p w:rsidR="007037D4" w:rsidRPr="003A5530" w:rsidRDefault="007037D4" w:rsidP="003A5530">
      <w:pPr>
        <w:spacing w:after="0" w:line="360" w:lineRule="auto"/>
        <w:jc w:val="center"/>
        <w:rPr>
          <w:rFonts w:ascii="Arial" w:eastAsia="Times New Roman" w:hAnsi="Arial" w:cs="Arial"/>
          <w:b/>
          <w:bCs/>
          <w:sz w:val="24"/>
          <w:szCs w:val="24"/>
          <w:lang w:eastAsia="es-ES"/>
        </w:rPr>
      </w:pPr>
      <w:r w:rsidRPr="003A5530">
        <w:rPr>
          <w:rFonts w:ascii="Arial" w:eastAsia="Times New Roman" w:hAnsi="Arial" w:cs="Arial"/>
          <w:b/>
          <w:bCs/>
          <w:sz w:val="24"/>
          <w:szCs w:val="24"/>
          <w:lang w:eastAsia="es-ES"/>
        </w:rPr>
        <w:t>LEY DE ETIQUETADO FRONTAL DE ALIMENTOS Y BEBIDAS NO ALCOHÓLICAS, PARA FACILITAR LA COMPRENSIÓN SOBRE EL CONTENIDO DE INGREDIENTES QUE, POR SU CONSUMO EXCESIVO, REPRESENTEN RIESGOS PARA LA SALUD DE LAS PERSONAS</w:t>
      </w:r>
    </w:p>
    <w:p w:rsidR="007B5DEA" w:rsidRPr="003A5530" w:rsidRDefault="007B5DEA" w:rsidP="003A5530">
      <w:pPr>
        <w:spacing w:after="0" w:line="360" w:lineRule="auto"/>
        <w:jc w:val="center"/>
        <w:rPr>
          <w:rFonts w:ascii="Arial" w:eastAsia="Times New Roman" w:hAnsi="Arial" w:cs="Arial"/>
          <w:b/>
          <w:bCs/>
          <w:sz w:val="24"/>
          <w:szCs w:val="24"/>
          <w:lang w:val="es-ES" w:eastAsia="es-ES"/>
        </w:rPr>
      </w:pPr>
    </w:p>
    <w:p w:rsidR="007B5DEA" w:rsidRPr="003A5530" w:rsidRDefault="007B5DEA" w:rsidP="003A5530">
      <w:pPr>
        <w:spacing w:after="0" w:line="360" w:lineRule="auto"/>
        <w:jc w:val="right"/>
        <w:rPr>
          <w:rFonts w:ascii="Arial" w:eastAsia="Calibri" w:hAnsi="Arial" w:cs="Arial"/>
          <w:b/>
          <w:sz w:val="24"/>
          <w:szCs w:val="24"/>
        </w:rPr>
      </w:pPr>
    </w:p>
    <w:p w:rsidR="007B5DEA" w:rsidRPr="003A5530" w:rsidRDefault="007B5DEA" w:rsidP="003A5530">
      <w:pPr>
        <w:spacing w:after="0" w:line="360" w:lineRule="auto"/>
        <w:jc w:val="right"/>
        <w:rPr>
          <w:rFonts w:ascii="Arial" w:eastAsia="Calibri" w:hAnsi="Arial" w:cs="Arial"/>
          <w:b/>
          <w:sz w:val="24"/>
          <w:szCs w:val="24"/>
        </w:rPr>
      </w:pPr>
    </w:p>
    <w:p w:rsidR="007B5DEA" w:rsidRPr="003A5530" w:rsidRDefault="004957EE" w:rsidP="003A5530">
      <w:pPr>
        <w:spacing w:after="0" w:line="360" w:lineRule="auto"/>
        <w:jc w:val="right"/>
        <w:rPr>
          <w:rFonts w:ascii="Arial" w:eastAsia="Calibri" w:hAnsi="Arial" w:cs="Arial"/>
          <w:sz w:val="24"/>
          <w:szCs w:val="24"/>
          <w:shd w:val="clear" w:color="auto" w:fill="FFFFFF"/>
        </w:rPr>
      </w:pPr>
      <w:r>
        <w:rPr>
          <w:rFonts w:ascii="Arial" w:eastAsia="Calibri" w:hAnsi="Arial" w:cs="Arial"/>
          <w:sz w:val="24"/>
          <w:szCs w:val="24"/>
          <w:shd w:val="clear" w:color="auto" w:fill="FFFFFF"/>
        </w:rPr>
        <w:t>Expediente N° 22.065</w:t>
      </w:r>
    </w:p>
    <w:p w:rsidR="007B5DEA" w:rsidRPr="003A5530" w:rsidRDefault="007B5DEA" w:rsidP="003A5530">
      <w:pPr>
        <w:spacing w:after="0" w:line="360" w:lineRule="auto"/>
        <w:jc w:val="right"/>
        <w:rPr>
          <w:rFonts w:ascii="Arial" w:eastAsia="Calibri" w:hAnsi="Arial" w:cs="Arial"/>
          <w:b/>
          <w:sz w:val="24"/>
          <w:szCs w:val="24"/>
          <w:shd w:val="clear" w:color="auto" w:fill="FFFFFF"/>
        </w:rPr>
      </w:pPr>
    </w:p>
    <w:p w:rsidR="007B5DEA" w:rsidRPr="003A5530" w:rsidRDefault="007B5DEA" w:rsidP="003A5530">
      <w:pPr>
        <w:spacing w:after="0" w:line="360" w:lineRule="auto"/>
        <w:jc w:val="right"/>
        <w:rPr>
          <w:rFonts w:ascii="Arial" w:eastAsia="Calibri" w:hAnsi="Arial" w:cs="Arial"/>
          <w:sz w:val="24"/>
          <w:szCs w:val="24"/>
          <w:shd w:val="clear" w:color="auto" w:fill="FFFFFF"/>
        </w:rPr>
      </w:pPr>
    </w:p>
    <w:p w:rsidR="007B5DEA" w:rsidRPr="003A5530" w:rsidRDefault="007B5DEA" w:rsidP="003A5530">
      <w:pPr>
        <w:spacing w:after="0" w:line="360" w:lineRule="auto"/>
        <w:jc w:val="both"/>
        <w:rPr>
          <w:rFonts w:ascii="Arial" w:eastAsia="Calibri" w:hAnsi="Arial" w:cs="Arial"/>
          <w:sz w:val="24"/>
          <w:szCs w:val="24"/>
          <w:shd w:val="clear" w:color="auto" w:fill="FFFFFF"/>
        </w:rPr>
      </w:pPr>
      <w:r w:rsidRPr="003A5530">
        <w:rPr>
          <w:rFonts w:ascii="Arial" w:eastAsia="Calibri" w:hAnsi="Arial" w:cs="Arial"/>
          <w:sz w:val="24"/>
          <w:szCs w:val="24"/>
          <w:shd w:val="clear" w:color="auto" w:fill="FFFFFF"/>
        </w:rPr>
        <w:t>ASAMBLEA LEGISLATIVA:</w:t>
      </w:r>
    </w:p>
    <w:p w:rsidR="007B5DEA" w:rsidRPr="003A5530" w:rsidRDefault="007B5DEA" w:rsidP="003A5530">
      <w:pPr>
        <w:spacing w:after="0" w:line="360" w:lineRule="auto"/>
        <w:jc w:val="both"/>
        <w:rPr>
          <w:rFonts w:ascii="Arial" w:eastAsia="Calibri" w:hAnsi="Arial" w:cs="Arial"/>
          <w:b/>
          <w:sz w:val="24"/>
          <w:szCs w:val="24"/>
          <w:lang w:val="es-MX"/>
        </w:rPr>
      </w:pPr>
    </w:p>
    <w:p w:rsidR="003A5530" w:rsidRDefault="003A5530" w:rsidP="003A5530">
      <w:pPr>
        <w:spacing w:after="0" w:line="360" w:lineRule="auto"/>
        <w:jc w:val="both"/>
        <w:rPr>
          <w:rFonts w:ascii="Arial" w:eastAsia="Calibri" w:hAnsi="Arial" w:cs="Arial"/>
          <w:b/>
          <w:i/>
          <w:sz w:val="24"/>
          <w:szCs w:val="24"/>
          <w:lang w:val="es-MX"/>
        </w:rPr>
      </w:pPr>
    </w:p>
    <w:p w:rsidR="007B5DEA" w:rsidRPr="003A5530" w:rsidRDefault="007B5DEA" w:rsidP="003A5530">
      <w:pPr>
        <w:spacing w:after="0" w:line="360" w:lineRule="auto"/>
        <w:jc w:val="both"/>
        <w:rPr>
          <w:rFonts w:ascii="Arial" w:eastAsia="Calibri" w:hAnsi="Arial" w:cs="Arial"/>
          <w:b/>
          <w:i/>
          <w:sz w:val="24"/>
          <w:szCs w:val="24"/>
          <w:lang w:val="es-MX"/>
        </w:rPr>
      </w:pPr>
      <w:r w:rsidRPr="003A5530">
        <w:rPr>
          <w:rFonts w:ascii="Arial" w:eastAsia="Calibri" w:hAnsi="Arial" w:cs="Arial"/>
          <w:b/>
          <w:i/>
          <w:sz w:val="24"/>
          <w:szCs w:val="24"/>
          <w:lang w:val="es-MX"/>
        </w:rPr>
        <w:t xml:space="preserve">Enfermedades no transmisibles y obesidad: datos alarmantes en Costa Rica y el mundo </w:t>
      </w:r>
    </w:p>
    <w:p w:rsidR="007B5DEA" w:rsidRPr="003A5530" w:rsidRDefault="007B5DEA" w:rsidP="003A5530">
      <w:pPr>
        <w:spacing w:after="0" w:line="360" w:lineRule="auto"/>
        <w:jc w:val="both"/>
        <w:rPr>
          <w:rFonts w:ascii="Arial" w:eastAsia="Calibri" w:hAnsi="Arial" w:cs="Arial"/>
          <w:b/>
          <w:i/>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La prevalencia de las enfermedades no transmisibles (ENT) - enfermedades cardiovasculares, el cáncer, la diabetes, y las enfermedades pulmonares crónicas - ha aumentado en todos los grupos de edad y son una causa importante de incapacidad y muerte prematura en las Américas. En el 2015, las ENT fueron responsables de aproximadamente 5,2 millones de muertes (80% de todas las muertes). Treinta y cinco por ciento de ellas fueron muertes prematuras, es decir, ocurrieron en personas entre las edades de treinta y setenta años. En México, las tres principales causas de muerte: son enfermedades isquémicas del corazón (136 mil /año en 2016), diabetes (106 mil / año en 2016) y tumores malignos (83 mil / año 2016)</w:t>
      </w:r>
      <w:r w:rsidRPr="003A5530">
        <w:rPr>
          <w:rFonts w:ascii="Arial" w:eastAsia="Calibri" w:hAnsi="Arial" w:cs="Arial"/>
          <w:sz w:val="24"/>
          <w:szCs w:val="24"/>
          <w:vertAlign w:val="superscript"/>
          <w:lang w:val="es-CL"/>
        </w:rPr>
        <w:footnoteReference w:id="1"/>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lastRenderedPageBreak/>
        <w:t>La alimentación no saludable, es decir el consumo habitual de productos procesados y ultra-procesados con alto contenido calórico y bajo valor nutricional, que tienen altos niveles de azúcar, sal y grasas, contribuye de una manera importante a la epidemia del sobrepeso y obesidad, y a mantener deficiencias de nutrientes esenciales. Su consumo habitual, ha hecho a las Américas la región con mayor prevalencia de sobrepeso y obesidad del mundo. El 62,6% de los hombres y 59,9% de las mujeres tienen sobrepeso u obesidad (IMC ≥ 25) comparado con 39% a nivel global</w:t>
      </w:r>
      <w:r w:rsidRPr="003A5530">
        <w:rPr>
          <w:rFonts w:ascii="Arial" w:eastAsia="Calibri" w:hAnsi="Arial" w:cs="Arial"/>
          <w:sz w:val="24"/>
          <w:szCs w:val="24"/>
          <w:vertAlign w:val="superscript"/>
          <w:lang w:val="es-CL"/>
        </w:rPr>
        <w:footnoteReference w:id="2"/>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El incremento en el consumo de productos ultra-procesados ha sido promovido por su gran disponibilidad, fácil acceso, conveniencia, y palatabilidad, sumado a las estrategias de promoción, publicidad y patrocinio empleadas por la industria de alimentos. Las campañas de promoción y publicidad han hecho que la población reconozca los productos ultra-procesados como alimentos o similares, y promuevan su consumo</w:t>
      </w:r>
      <w:r w:rsidRPr="003A5530">
        <w:rPr>
          <w:rFonts w:ascii="Arial" w:eastAsia="Calibri" w:hAnsi="Arial" w:cs="Arial"/>
          <w:sz w:val="24"/>
          <w:szCs w:val="24"/>
          <w:vertAlign w:val="superscript"/>
          <w:lang w:val="es-CL"/>
        </w:rPr>
        <w:footnoteReference w:id="3"/>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El etiquetado de alimentos está relacionado con una variedad amplia de estrategias de mercadeo que tienen por objetivo lograr el reconocimiento social de que productos superfluos y potencialmente dañinos a la salud son alimentos esenciales. Para ello se incorporan al etiquetado elementos persuasivos e información o declaraciones engañosas o poca claras que promueven su compra</w:t>
      </w:r>
      <w:r w:rsidRPr="003A5530">
        <w:rPr>
          <w:rFonts w:ascii="Arial" w:eastAsia="Calibri" w:hAnsi="Arial" w:cs="Arial"/>
          <w:sz w:val="24"/>
          <w:szCs w:val="24"/>
          <w:vertAlign w:val="superscript"/>
          <w:lang w:val="es-CL"/>
        </w:rPr>
        <w:footnoteReference w:id="4"/>
      </w:r>
      <w:r w:rsidRPr="003A5530">
        <w:rPr>
          <w:rFonts w:ascii="Arial" w:eastAsia="Calibri" w:hAnsi="Arial" w:cs="Arial"/>
          <w:sz w:val="24"/>
          <w:szCs w:val="24"/>
          <w:lang w:val="es-CL"/>
        </w:rPr>
        <w:t>.</w:t>
      </w:r>
    </w:p>
    <w:p w:rsidR="007B5DEA" w:rsidRPr="003A5530" w:rsidRDefault="007B5DEA" w:rsidP="003A5530">
      <w:pPr>
        <w:spacing w:after="0" w:line="360" w:lineRule="auto"/>
        <w:jc w:val="both"/>
        <w:rPr>
          <w:rFonts w:ascii="Arial" w:eastAsia="Calibri" w:hAnsi="Arial" w:cs="Arial"/>
          <w:sz w:val="24"/>
          <w:szCs w:val="24"/>
          <w:lang w:val="es-CL"/>
        </w:rPr>
      </w:pPr>
    </w:p>
    <w:p w:rsidR="00451B04"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Para el caso costarricense</w:t>
      </w:r>
      <w:r w:rsidR="00451B04" w:rsidRPr="003A5530">
        <w:rPr>
          <w:rFonts w:ascii="Arial" w:eastAsia="Calibri" w:hAnsi="Arial" w:cs="Arial"/>
          <w:sz w:val="24"/>
          <w:szCs w:val="24"/>
          <w:lang w:val="es-CL"/>
        </w:rPr>
        <w:t xml:space="preserve">, la carga atribuible a las enfermedades crónicas para el año 2005 representó un 61% de los Años de Vida Perdidos debido a la discapacidad o muertes prematuras, considerando para este cálculo la referencia de expectativa de vida en Costa Rica para dicho año. Esta carga atribuible a las enfermedades </w:t>
      </w:r>
      <w:r w:rsidR="00451B04" w:rsidRPr="003A5530">
        <w:rPr>
          <w:rFonts w:ascii="Arial" w:eastAsia="Calibri" w:hAnsi="Arial" w:cs="Arial"/>
          <w:sz w:val="24"/>
          <w:szCs w:val="24"/>
          <w:lang w:val="es-CL"/>
        </w:rPr>
        <w:lastRenderedPageBreak/>
        <w:t>crónicas no transmisibles, ha generado un impacto en las condiciones de vida de la población y en la economía nacional, por ser uno de los gastos más altos en la prestación de los servicios de salud</w:t>
      </w:r>
      <w:r w:rsidR="00EB1F22" w:rsidRPr="003A5530">
        <w:rPr>
          <w:rStyle w:val="Refdenotaalpie"/>
          <w:rFonts w:ascii="Arial" w:eastAsia="Calibri" w:hAnsi="Arial" w:cs="Arial"/>
          <w:sz w:val="24"/>
          <w:szCs w:val="24"/>
          <w:lang w:val="es-CL"/>
        </w:rPr>
        <w:footnoteReference w:id="5"/>
      </w:r>
      <w:r w:rsidR="00451B04" w:rsidRPr="003A5530">
        <w:rPr>
          <w:rFonts w:ascii="Arial" w:eastAsia="Calibri" w:hAnsi="Arial" w:cs="Arial"/>
          <w:sz w:val="24"/>
          <w:szCs w:val="24"/>
          <w:lang w:val="es-CL"/>
        </w:rPr>
        <w:t>.</w:t>
      </w:r>
    </w:p>
    <w:p w:rsidR="00451B04" w:rsidRPr="003A5530" w:rsidRDefault="00451B04" w:rsidP="003A5530">
      <w:pPr>
        <w:spacing w:after="0" w:line="360" w:lineRule="auto"/>
        <w:jc w:val="both"/>
        <w:rPr>
          <w:rFonts w:ascii="Arial" w:eastAsia="Calibri" w:hAnsi="Arial" w:cs="Arial"/>
          <w:sz w:val="24"/>
          <w:szCs w:val="24"/>
          <w:lang w:val="es-CL"/>
        </w:rPr>
      </w:pPr>
    </w:p>
    <w:p w:rsidR="007B5DEA" w:rsidRPr="003A5530" w:rsidRDefault="00EB4F75" w:rsidP="003A5530">
      <w:pPr>
        <w:spacing w:after="0" w:line="360" w:lineRule="auto"/>
        <w:jc w:val="both"/>
        <w:rPr>
          <w:rFonts w:ascii="Arial" w:eastAsia="Calibri" w:hAnsi="Arial" w:cs="Arial"/>
          <w:sz w:val="24"/>
          <w:szCs w:val="24"/>
          <w:lang w:val="es-CL"/>
        </w:rPr>
      </w:pPr>
      <w:r>
        <w:rPr>
          <w:rFonts w:ascii="Arial" w:eastAsia="Calibri" w:hAnsi="Arial" w:cs="Arial"/>
          <w:sz w:val="24"/>
          <w:szCs w:val="24"/>
          <w:lang w:val="es-CL"/>
        </w:rPr>
        <w:t xml:space="preserve">Además, </w:t>
      </w:r>
      <w:r w:rsidR="007B5DEA" w:rsidRPr="003A5530">
        <w:rPr>
          <w:rFonts w:ascii="Arial" w:eastAsia="Calibri" w:hAnsi="Arial" w:cs="Arial"/>
          <w:sz w:val="24"/>
          <w:szCs w:val="24"/>
          <w:lang w:val="es-CL"/>
        </w:rPr>
        <w:t xml:space="preserve">según lo revelado en el </w:t>
      </w:r>
      <w:r w:rsidR="007B5DEA" w:rsidRPr="003A5530">
        <w:rPr>
          <w:rFonts w:ascii="Arial" w:eastAsia="Calibri" w:hAnsi="Arial" w:cs="Arial"/>
          <w:i/>
          <w:sz w:val="24"/>
          <w:szCs w:val="24"/>
          <w:lang w:val="es-CL"/>
        </w:rPr>
        <w:t>Censo Peso-Talla del año 2016</w:t>
      </w:r>
      <w:r w:rsidR="007B5DEA" w:rsidRPr="003A5530">
        <w:rPr>
          <w:rFonts w:ascii="Arial" w:eastAsia="Calibri" w:hAnsi="Arial" w:cs="Arial"/>
          <w:sz w:val="24"/>
          <w:szCs w:val="24"/>
          <w:vertAlign w:val="superscript"/>
          <w:lang w:val="es-CL"/>
        </w:rPr>
        <w:footnoteReference w:id="6"/>
      </w:r>
      <w:r w:rsidR="007B5DEA" w:rsidRPr="003A5530">
        <w:rPr>
          <w:rFonts w:ascii="Arial" w:eastAsia="Calibri" w:hAnsi="Arial" w:cs="Arial"/>
          <w:sz w:val="24"/>
          <w:szCs w:val="24"/>
          <w:lang w:val="es-CL"/>
        </w:rPr>
        <w:t xml:space="preserve">, las tendencias de aumento y de las diferencias sociales en la obesidad determinan que aquellos estratos de la población con menor nivel educativo y socioeconómico puedan ser los más afectados. Al analizar el sobrepeso y obesidad se observó una mayor prevalencia en la zona urbana (34.8%) comparada con la zona rural (31.3%); sin embargo, en ambas zonas coexiste el sobrepeso y la obesidad.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El sobrepeso y obesidad por sexo mostró que las mujeres tienen mayor prevalencia de sobrepeso (20.6% comparado con 20.6% en hombres), pero la prevalencia de obesidad fue mayor en los hombres (16.6% comparado con 11.6% en mujeres). Independientemente del sexo, 34 de cada 100 escolares tienen sobrepeso u obesidad</w:t>
      </w:r>
      <w:r w:rsidRPr="003A5530">
        <w:rPr>
          <w:rFonts w:ascii="Arial" w:eastAsia="Calibri" w:hAnsi="Arial" w:cs="Arial"/>
          <w:sz w:val="24"/>
          <w:szCs w:val="24"/>
          <w:vertAlign w:val="superscript"/>
          <w:lang w:val="es-CL"/>
        </w:rPr>
        <w:footnoteReference w:id="7"/>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Al analizar los resultados según edad se encontró una tendencia al incremento del sobrepeso y la obesidad que inicia a los 8 años de edad, alcanzando las prevalencias más altas, entre los 9-11 años, mientras que a los 12 años declina levemente la tendencia creciente de la obesidad</w:t>
      </w:r>
      <w:r w:rsidRPr="003A5530">
        <w:rPr>
          <w:rFonts w:ascii="Arial" w:eastAsia="Calibri" w:hAnsi="Arial" w:cs="Arial"/>
          <w:sz w:val="24"/>
          <w:szCs w:val="24"/>
          <w:vertAlign w:val="superscript"/>
          <w:lang w:val="es-CL"/>
        </w:rPr>
        <w:footnoteReference w:id="8"/>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La malnutrición por exceso se registró a lo largo de todo el país, siendo la mayor prevalencia en la Gran Área Metropolitana, principalmente Heredia y San José. Es importante mencionar, que para en todos los niveles del Índice de Desarrollo Social existen problemas de sobrepeso y obesidad en los escolares</w:t>
      </w:r>
      <w:r w:rsidRPr="003A5530">
        <w:rPr>
          <w:rFonts w:ascii="Arial" w:eastAsia="Calibri" w:hAnsi="Arial" w:cs="Arial"/>
          <w:sz w:val="24"/>
          <w:szCs w:val="24"/>
          <w:vertAlign w:val="superscript"/>
          <w:lang w:val="es-CL"/>
        </w:rPr>
        <w:footnoteReference w:id="9"/>
      </w:r>
      <w:r w:rsidRPr="003A5530">
        <w:rPr>
          <w:rFonts w:ascii="Arial" w:eastAsia="Calibri" w:hAnsi="Arial" w:cs="Arial"/>
          <w:sz w:val="24"/>
          <w:szCs w:val="24"/>
          <w:lang w:val="es-CL"/>
        </w:rPr>
        <w:t xml:space="preserve">. </w:t>
      </w:r>
    </w:p>
    <w:p w:rsidR="00EB4F75" w:rsidRDefault="00EB4F75"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Datos que ya se evidenciaban en estudios anteriores como los que reflejaba la Encuesta Nacional de Nutrición 2008-2009</w:t>
      </w:r>
      <w:r w:rsidRPr="003A5530">
        <w:rPr>
          <w:rFonts w:ascii="Arial" w:eastAsia="Calibri" w:hAnsi="Arial" w:cs="Arial"/>
          <w:sz w:val="24"/>
          <w:szCs w:val="24"/>
          <w:vertAlign w:val="superscript"/>
          <w:lang w:val="es-CL"/>
        </w:rPr>
        <w:footnoteReference w:id="10"/>
      </w:r>
      <w:r w:rsidRPr="003A5530">
        <w:rPr>
          <w:rFonts w:ascii="Arial" w:eastAsia="Calibri" w:hAnsi="Arial" w:cs="Arial"/>
          <w:sz w:val="24"/>
          <w:szCs w:val="24"/>
          <w:lang w:val="es-CL"/>
        </w:rPr>
        <w:t>, que en ese momento alertaba de un aumento considerable en la obesidad en distintos rangos de edad.</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 xml:space="preserve">Y es que la tendencia se refleja en diversos </w:t>
      </w:r>
      <w:r w:rsidR="00CC21FC" w:rsidRPr="003A5530">
        <w:rPr>
          <w:rFonts w:ascii="Arial" w:eastAsia="Calibri" w:hAnsi="Arial" w:cs="Arial"/>
          <w:sz w:val="24"/>
          <w:szCs w:val="24"/>
          <w:lang w:val="es-MX"/>
        </w:rPr>
        <w:t xml:space="preserve">estudios, por ejemplo, </w:t>
      </w:r>
      <w:r w:rsidRPr="003A5530">
        <w:rPr>
          <w:rFonts w:ascii="Arial" w:eastAsia="Calibri" w:hAnsi="Arial" w:cs="Arial"/>
          <w:sz w:val="24"/>
          <w:szCs w:val="24"/>
          <w:lang w:val="es-MX"/>
        </w:rPr>
        <w:t>el Estudio Latinoamericano de Nutrición y Salud (ELANS) publicado en el año 2016, determinó que Costa Rica es el segundo país de América Latina con mayor prevalencia de sobrepeso y obesidad. El estudio también reveló que el 32,6% de la población de 15 a 65 años presentaron sobrepeso y el 30,6% presentaron obesidad según el Índice de Masa Corporal (IMC), o sea 2 de cada 3 hombres y mujeres poseen un exceso de peso</w:t>
      </w:r>
      <w:r w:rsidRPr="003A5530">
        <w:rPr>
          <w:rFonts w:ascii="Arial" w:eastAsia="Calibri" w:hAnsi="Arial" w:cs="Arial"/>
          <w:sz w:val="24"/>
          <w:szCs w:val="24"/>
          <w:vertAlign w:val="superscript"/>
          <w:lang w:val="es-MX"/>
        </w:rPr>
        <w:footnoteReference w:id="11"/>
      </w:r>
      <w:r w:rsidRPr="003A5530">
        <w:rPr>
          <w:rFonts w:ascii="Arial" w:eastAsia="Calibri" w:hAnsi="Arial" w:cs="Arial"/>
          <w:sz w:val="24"/>
          <w:szCs w:val="24"/>
          <w:lang w:val="es-MX"/>
        </w:rPr>
        <w:t>.</w:t>
      </w:r>
    </w:p>
    <w:p w:rsidR="00CC21FC" w:rsidRPr="003A5530" w:rsidRDefault="00CC21FC"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i/>
          <w:sz w:val="24"/>
          <w:szCs w:val="24"/>
          <w:lang w:val="es-MX"/>
        </w:rPr>
        <w:t>“La incidencia de la obesidad en nuestro país ha pasado de ser una simple estadística para convertirse en “alarma” de salud pública y contrario a otras enfermedades silenciosas, está a la vista por lo que urge como sociedad hacer cambios drásticos en los hábitos alimenticios”,</w:t>
      </w:r>
      <w:r w:rsidR="00CC21FC" w:rsidRPr="003A5530">
        <w:rPr>
          <w:rFonts w:ascii="Arial" w:eastAsia="Calibri" w:hAnsi="Arial" w:cs="Arial"/>
          <w:sz w:val="24"/>
          <w:szCs w:val="24"/>
          <w:lang w:val="es-MX"/>
        </w:rPr>
        <w:t xml:space="preserve"> afirmó en ese momento la Doctora Norma Meza, Presidenta del Colegio de Profesionales en Nutrición de Costa Rica</w:t>
      </w:r>
      <w:r w:rsidRPr="003A5530">
        <w:rPr>
          <w:rFonts w:ascii="Arial" w:eastAsia="Calibri" w:hAnsi="Arial" w:cs="Arial"/>
          <w:sz w:val="24"/>
          <w:szCs w:val="24"/>
          <w:vertAlign w:val="superscript"/>
          <w:lang w:val="es-MX"/>
        </w:rPr>
        <w:footnoteReference w:id="12"/>
      </w:r>
      <w:r w:rsidRPr="003A5530">
        <w:rPr>
          <w:rFonts w:ascii="Arial" w:eastAsia="Calibri" w:hAnsi="Arial" w:cs="Arial"/>
          <w:sz w:val="24"/>
          <w:szCs w:val="24"/>
          <w:lang w:val="es-MX"/>
        </w:rPr>
        <w:t>.</w:t>
      </w:r>
    </w:p>
    <w:p w:rsidR="007B5DEA" w:rsidRPr="003A5530" w:rsidRDefault="007B5DEA"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Los detonantes de este problema, de acuerdo con el estudio ELANS, son exceso de comida</w:t>
      </w:r>
      <w:r w:rsidR="00EB4F75">
        <w:rPr>
          <w:rFonts w:ascii="Arial" w:eastAsia="Calibri" w:hAnsi="Arial" w:cs="Arial"/>
          <w:sz w:val="24"/>
          <w:szCs w:val="24"/>
          <w:lang w:val="es-MX"/>
        </w:rPr>
        <w:t xml:space="preserve"> chatarra</w:t>
      </w:r>
      <w:r w:rsidRPr="003A5530">
        <w:rPr>
          <w:rFonts w:ascii="Arial" w:eastAsia="Calibri" w:hAnsi="Arial" w:cs="Arial"/>
          <w:sz w:val="24"/>
          <w:szCs w:val="24"/>
          <w:lang w:val="es-MX"/>
        </w:rPr>
        <w:t>, meriendas llenas de alimentos pre envasados, altos en grasa, azúcares, sodio y bajos en nutrientes, alto consumo de bebidas azucaradas y bajo o nulo consumo de agua, fruta y vegetales</w:t>
      </w:r>
      <w:r w:rsidRPr="003A5530">
        <w:rPr>
          <w:rFonts w:ascii="Arial" w:eastAsia="Calibri" w:hAnsi="Arial" w:cs="Arial"/>
          <w:sz w:val="24"/>
          <w:szCs w:val="24"/>
          <w:vertAlign w:val="superscript"/>
          <w:lang w:val="es-MX"/>
        </w:rPr>
        <w:footnoteReference w:id="13"/>
      </w:r>
      <w:r w:rsidRPr="003A5530">
        <w:rPr>
          <w:rFonts w:ascii="Arial" w:eastAsia="Calibri" w:hAnsi="Arial" w:cs="Arial"/>
          <w:sz w:val="24"/>
          <w:szCs w:val="24"/>
          <w:lang w:val="es-MX"/>
        </w:rPr>
        <w:t>.</w:t>
      </w:r>
    </w:p>
    <w:p w:rsidR="007B5DEA" w:rsidRDefault="007B5DEA" w:rsidP="003A5530">
      <w:pPr>
        <w:spacing w:after="0" w:line="360" w:lineRule="auto"/>
        <w:jc w:val="both"/>
        <w:rPr>
          <w:rFonts w:ascii="Arial" w:eastAsia="Calibri" w:hAnsi="Arial" w:cs="Arial"/>
          <w:sz w:val="24"/>
          <w:szCs w:val="24"/>
          <w:lang w:val="es-MX"/>
        </w:rPr>
      </w:pPr>
    </w:p>
    <w:p w:rsidR="00EB4F75" w:rsidRPr="003A5530" w:rsidRDefault="00EB4F75"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b/>
          <w:i/>
          <w:sz w:val="24"/>
          <w:szCs w:val="24"/>
          <w:lang w:val="es-MX"/>
        </w:rPr>
      </w:pPr>
      <w:r w:rsidRPr="003A5530">
        <w:rPr>
          <w:rFonts w:ascii="Arial" w:eastAsia="Calibri" w:hAnsi="Arial" w:cs="Arial"/>
          <w:b/>
          <w:i/>
          <w:sz w:val="24"/>
          <w:szCs w:val="24"/>
          <w:lang w:val="es-MX"/>
        </w:rPr>
        <w:lastRenderedPageBreak/>
        <w:t>Alimentación adecuada y nutritiva según la perspectiva de los organismos internacionales</w:t>
      </w:r>
    </w:p>
    <w:p w:rsidR="007B5DEA" w:rsidRPr="003A5530" w:rsidRDefault="007B5DEA" w:rsidP="003A5530">
      <w:pPr>
        <w:spacing w:after="0" w:line="360" w:lineRule="auto"/>
        <w:jc w:val="both"/>
        <w:rPr>
          <w:rFonts w:ascii="Arial" w:eastAsia="Calibri" w:hAnsi="Arial" w:cs="Arial"/>
          <w:b/>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El derecho a la salud y el derecho a la alimentación se encuentran indisolublemente unidos al constituirse en derechos básicos sin los cuales no se puede alcanzar un nivel de vida digno. No obstante, el enfoque sobre el derecho humano a la alimentación y su relación con el derecho a la salud se ha ido modificando para incluir la perspectiva de alimentación adecuada y nutritiva, ampliando la concepción histórica que considera al derecho a la alimentación como la garantía de ser protegidos contra el hambre</w:t>
      </w:r>
      <w:r w:rsidRPr="003A5530">
        <w:rPr>
          <w:rFonts w:ascii="Arial" w:eastAsia="Calibri" w:hAnsi="Arial" w:cs="Arial"/>
          <w:sz w:val="24"/>
          <w:szCs w:val="24"/>
          <w:vertAlign w:val="superscript"/>
          <w:lang w:val="es-CL"/>
        </w:rPr>
        <w:footnoteReference w:id="14"/>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Al respecto, el Comité de Derechos Económicos, Sociales y Culturales (CDESC) de la ONU, señaló que el derecho a la salud abarca una amplia variedad de factores determinantes que incluyen a la alimentación adecuada. El derecho a la alimentación adecuada está reconocido en diversos tratados internacionales siendo el Pacto Internacional de Derechos Económicos, Sociales y Culturales aquel que lo trata de manera más completa. La Observación General Nº 12 del CDESC (1999) sostiene que el concepto de alimentación adecuada comprende la disponibilidad de alimentos en cantidad y calidad suficientes para satisfacer las necesidades alimentarias, sin sustancias nocivas, y aceptables para una cultura determinada; y la sostenibilidad del acceso a los alimentos de las generaciones presentes y futuras. En este sentido, el CDESC determinó que los deberes que recaen sobre los Estados en relación al derecho a una alimentación adecuada son las obligaciones de respetar, proteger y realizar: </w:t>
      </w:r>
      <w:r w:rsidRPr="003A5530">
        <w:rPr>
          <w:rFonts w:ascii="Arial" w:eastAsia="Calibri" w:hAnsi="Arial" w:cs="Arial"/>
          <w:i/>
          <w:sz w:val="24"/>
          <w:szCs w:val="24"/>
          <w:lang w:val="es-CL"/>
        </w:rPr>
        <w:t>“el Estado debe procurar iniciar actividades con el fin de fortalecer el acceso y la utilización por parte de la población de los recursos y medios que aseguren sus medios de vida, incluida la seguridad alimentaria…”</w:t>
      </w:r>
      <w:r w:rsidRPr="003A5530">
        <w:rPr>
          <w:rFonts w:ascii="Arial" w:eastAsia="Calibri" w:hAnsi="Arial" w:cs="Arial"/>
          <w:i/>
          <w:sz w:val="24"/>
          <w:szCs w:val="24"/>
          <w:vertAlign w:val="superscript"/>
          <w:lang w:val="es-CL"/>
        </w:rPr>
        <w:footnoteReference w:id="15"/>
      </w:r>
      <w:r w:rsidRPr="003A5530">
        <w:rPr>
          <w:rFonts w:ascii="Arial" w:eastAsia="Calibri" w:hAnsi="Arial" w:cs="Arial"/>
          <w:i/>
          <w:sz w:val="24"/>
          <w:szCs w:val="24"/>
          <w:lang w:val="es-CL"/>
        </w:rPr>
        <w:t>.</w:t>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lastRenderedPageBreak/>
        <w:t>Numerosos comités de derechos humanos han recomendado la puesta en marcha de políticas alimentarias como un elemento necesario para proteger el derecho a la salud de las personas, con un enfoque específico en grupos en situación de vulnerabilidad, como lo son los niños, niñas y adolescentes. La publicidad, promoción y patrocinio de alimentos no saludables, el etiquetado de alimentos, las estrategias de comercialización y disponibilidad de dichos alimentos en diferentes entornos, son precisamente factores que influyen en la problemática del sobrepeso y obesidad en niños, niñas y adolescentes, ya que inciden de forma directa en los patrones de consumo. En este sentido, el informe provisional de la Relatora Especial sobre el derecho a la alimentación (2017) establece la obligación de los Estados de regular los productos y los entornos para proteger los derechos humanos. Así, el etiquetado frontal se constituye como una herramienta no solo para proteger el derecho a la información de los consumidores sino también como una herramienta de protección del derecho a la salud</w:t>
      </w:r>
      <w:r w:rsidRPr="003A5530">
        <w:rPr>
          <w:rFonts w:ascii="Arial" w:eastAsia="Calibri" w:hAnsi="Arial" w:cs="Arial"/>
          <w:sz w:val="24"/>
          <w:szCs w:val="24"/>
          <w:vertAlign w:val="superscript"/>
          <w:lang w:val="es-CL"/>
        </w:rPr>
        <w:footnoteReference w:id="16"/>
      </w:r>
      <w:r w:rsidRPr="003A5530">
        <w:rPr>
          <w:rFonts w:ascii="Arial" w:eastAsia="Calibri" w:hAnsi="Arial" w:cs="Arial"/>
          <w:sz w:val="24"/>
          <w:szCs w:val="24"/>
          <w:lang w:val="es-CL"/>
        </w:rPr>
        <w:t>.</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MX"/>
        </w:rPr>
        <w:t xml:space="preserve">Precisamente, </w:t>
      </w:r>
      <w:r w:rsidRPr="003A5530">
        <w:rPr>
          <w:rFonts w:ascii="Arial" w:eastAsia="Calibri" w:hAnsi="Arial" w:cs="Arial"/>
          <w:sz w:val="24"/>
          <w:szCs w:val="24"/>
          <w:lang w:val="es-CL"/>
        </w:rPr>
        <w:t>en vista de la concordancia del modelo con las metas de la OMS de ingesta de nutrientes de la población, y sobre la base de un examen de las etiquetas de alimentos o fuentes equivalentes de información, en el modelo de perfil de nutrientes de la Organización Panamericana de la Salud (OPS) los productos procesados y ultraprocesados se clasifican de la siguiente manera</w:t>
      </w:r>
      <w:r w:rsidRPr="003A5530">
        <w:rPr>
          <w:rFonts w:ascii="Arial" w:eastAsia="Calibri" w:hAnsi="Arial" w:cs="Arial"/>
          <w:sz w:val="24"/>
          <w:szCs w:val="24"/>
          <w:vertAlign w:val="superscript"/>
          <w:lang w:val="es-CL"/>
        </w:rPr>
        <w:footnoteReference w:id="17"/>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numPr>
          <w:ilvl w:val="0"/>
          <w:numId w:val="2"/>
        </w:numPr>
        <w:spacing w:after="0" w:line="360" w:lineRule="auto"/>
        <w:contextualSpacing/>
        <w:jc w:val="both"/>
        <w:rPr>
          <w:rFonts w:ascii="Arial" w:eastAsia="Calibri" w:hAnsi="Arial" w:cs="Arial"/>
          <w:sz w:val="24"/>
          <w:szCs w:val="24"/>
          <w:lang w:val="es-CL"/>
        </w:rPr>
      </w:pPr>
      <w:r w:rsidRPr="003A5530">
        <w:rPr>
          <w:rFonts w:ascii="Arial" w:eastAsia="Calibri" w:hAnsi="Arial" w:cs="Arial"/>
          <w:b/>
          <w:bCs/>
          <w:sz w:val="24"/>
          <w:szCs w:val="24"/>
          <w:lang w:val="es-CL"/>
        </w:rPr>
        <w:t>Con una cantidad excesiva de sodio</w:t>
      </w:r>
      <w:r w:rsidRPr="003A5530">
        <w:rPr>
          <w:rFonts w:ascii="Arial" w:eastAsia="Calibri" w:hAnsi="Arial" w:cs="Arial"/>
          <w:sz w:val="24"/>
          <w:szCs w:val="24"/>
          <w:lang w:val="es-CL"/>
        </w:rPr>
        <w:t>, si la razón entre la can</w:t>
      </w:r>
      <w:r w:rsidRPr="003A5530">
        <w:rPr>
          <w:rFonts w:ascii="Arial" w:eastAsia="Calibri" w:hAnsi="Arial" w:cs="Arial"/>
          <w:sz w:val="24"/>
          <w:szCs w:val="24"/>
          <w:lang w:val="es-CL"/>
        </w:rPr>
        <w:softHyphen/>
        <w:t>tidad de sodio (mg) en cualquier cantidad dada del producto y la energía (kcal) es igual o mayor a 1:1. (Esta razón deriva de una ingesta diaria máxima recomendada de 2.000 mg de sodio, el límite máximo de la OMS para los adultos, y una ingesta calórica diaria de 2.000 kcal en total).</w:t>
      </w:r>
    </w:p>
    <w:p w:rsidR="007B5DEA" w:rsidRPr="003A5530" w:rsidRDefault="007B5DEA" w:rsidP="003A5530">
      <w:pPr>
        <w:spacing w:after="0" w:line="360" w:lineRule="auto"/>
        <w:ind w:left="720"/>
        <w:contextualSpacing/>
        <w:jc w:val="both"/>
        <w:rPr>
          <w:rFonts w:ascii="Arial" w:eastAsia="Calibri" w:hAnsi="Arial" w:cs="Arial"/>
          <w:sz w:val="24"/>
          <w:szCs w:val="24"/>
          <w:lang w:val="es-CL"/>
        </w:rPr>
      </w:pPr>
    </w:p>
    <w:p w:rsidR="007B5DEA" w:rsidRPr="003A5530" w:rsidRDefault="007B5DEA" w:rsidP="003A5530">
      <w:pPr>
        <w:numPr>
          <w:ilvl w:val="0"/>
          <w:numId w:val="2"/>
        </w:numPr>
        <w:spacing w:after="0" w:line="360" w:lineRule="auto"/>
        <w:contextualSpacing/>
        <w:jc w:val="both"/>
        <w:rPr>
          <w:rFonts w:ascii="Arial" w:eastAsia="Calibri" w:hAnsi="Arial" w:cs="Arial"/>
          <w:sz w:val="24"/>
          <w:szCs w:val="24"/>
          <w:lang w:val="es-CL"/>
        </w:rPr>
      </w:pPr>
      <w:r w:rsidRPr="003A5530">
        <w:rPr>
          <w:rFonts w:ascii="Arial" w:eastAsia="Calibri" w:hAnsi="Arial" w:cs="Arial"/>
          <w:b/>
          <w:bCs/>
          <w:sz w:val="24"/>
          <w:szCs w:val="24"/>
          <w:lang w:val="es-CL"/>
        </w:rPr>
        <w:lastRenderedPageBreak/>
        <w:t>Con una cantidad excesiva de azúcares libres</w:t>
      </w:r>
      <w:r w:rsidRPr="003A5530">
        <w:rPr>
          <w:rFonts w:ascii="Arial" w:eastAsia="Calibri" w:hAnsi="Arial" w:cs="Arial"/>
          <w:sz w:val="24"/>
          <w:szCs w:val="24"/>
          <w:lang w:val="es-CL"/>
        </w:rPr>
        <w:t>, si en cualquier cantidad dada del producto la cantidad de energía (kcal) prove</w:t>
      </w:r>
      <w:r w:rsidRPr="003A5530">
        <w:rPr>
          <w:rFonts w:ascii="Arial" w:eastAsia="Calibri" w:hAnsi="Arial" w:cs="Arial"/>
          <w:sz w:val="24"/>
          <w:szCs w:val="24"/>
          <w:lang w:val="es-CL"/>
        </w:rPr>
        <w:softHyphen/>
        <w:t xml:space="preserve">niente de los azúcares libres (gramos de azúcares libres x 4 kcal) es igual o mayor a 10% del total de energía (kcal). </w:t>
      </w:r>
    </w:p>
    <w:p w:rsidR="007B5DEA" w:rsidRPr="003A5530" w:rsidRDefault="007B5DEA" w:rsidP="003A5530">
      <w:pPr>
        <w:spacing w:after="0" w:line="360" w:lineRule="auto"/>
        <w:ind w:left="720"/>
        <w:contextualSpacing/>
        <w:rPr>
          <w:rFonts w:ascii="Arial" w:eastAsia="Calibri" w:hAnsi="Arial" w:cs="Arial"/>
          <w:b/>
          <w:bCs/>
          <w:sz w:val="24"/>
          <w:szCs w:val="24"/>
          <w:lang w:val="es-CL"/>
        </w:rPr>
      </w:pPr>
    </w:p>
    <w:p w:rsidR="007B5DEA" w:rsidRPr="003A5530" w:rsidRDefault="007B5DEA" w:rsidP="003A5530">
      <w:pPr>
        <w:numPr>
          <w:ilvl w:val="0"/>
          <w:numId w:val="2"/>
        </w:numPr>
        <w:spacing w:after="0" w:line="360" w:lineRule="auto"/>
        <w:contextualSpacing/>
        <w:jc w:val="both"/>
        <w:rPr>
          <w:rFonts w:ascii="Arial" w:eastAsia="Calibri" w:hAnsi="Arial" w:cs="Arial"/>
          <w:sz w:val="24"/>
          <w:szCs w:val="24"/>
          <w:lang w:val="es-CL"/>
        </w:rPr>
      </w:pPr>
      <w:r w:rsidRPr="003A5530">
        <w:rPr>
          <w:rFonts w:ascii="Arial" w:eastAsia="Calibri" w:hAnsi="Arial" w:cs="Arial"/>
          <w:b/>
          <w:bCs/>
          <w:sz w:val="24"/>
          <w:szCs w:val="24"/>
          <w:lang w:val="es-CL"/>
        </w:rPr>
        <w:t>Contiene otros edulcorantes</w:t>
      </w:r>
      <w:r w:rsidRPr="003A5530">
        <w:rPr>
          <w:rFonts w:ascii="Arial" w:eastAsia="Calibri" w:hAnsi="Arial" w:cs="Arial"/>
          <w:sz w:val="24"/>
          <w:szCs w:val="24"/>
          <w:lang w:val="es-CL"/>
        </w:rPr>
        <w:t>, si la lista de ingredientes incluye edulcorantes artificiales o naturales no calóricos o edulcorantes calóricos (polialcoholes).</w:t>
      </w:r>
    </w:p>
    <w:p w:rsidR="007B5DEA" w:rsidRPr="003A5530" w:rsidRDefault="007B5DEA" w:rsidP="003A5530">
      <w:pPr>
        <w:spacing w:after="0" w:line="360" w:lineRule="auto"/>
        <w:ind w:left="720"/>
        <w:contextualSpacing/>
        <w:rPr>
          <w:rFonts w:ascii="Arial" w:eastAsia="Calibri" w:hAnsi="Arial" w:cs="Arial"/>
          <w:b/>
          <w:bCs/>
          <w:sz w:val="24"/>
          <w:szCs w:val="24"/>
          <w:lang w:val="es-CL"/>
        </w:rPr>
      </w:pPr>
    </w:p>
    <w:p w:rsidR="007B5DEA" w:rsidRPr="003A5530" w:rsidRDefault="007B5DEA" w:rsidP="003A5530">
      <w:pPr>
        <w:numPr>
          <w:ilvl w:val="0"/>
          <w:numId w:val="2"/>
        </w:numPr>
        <w:spacing w:after="0" w:line="360" w:lineRule="auto"/>
        <w:contextualSpacing/>
        <w:jc w:val="both"/>
        <w:rPr>
          <w:rFonts w:ascii="Arial" w:eastAsia="Calibri" w:hAnsi="Arial" w:cs="Arial"/>
          <w:sz w:val="24"/>
          <w:szCs w:val="24"/>
          <w:lang w:val="es-CL"/>
        </w:rPr>
      </w:pPr>
      <w:r w:rsidRPr="003A5530">
        <w:rPr>
          <w:rFonts w:ascii="Arial" w:eastAsia="Calibri" w:hAnsi="Arial" w:cs="Arial"/>
          <w:b/>
          <w:bCs/>
          <w:sz w:val="24"/>
          <w:szCs w:val="24"/>
          <w:lang w:val="es-CL"/>
        </w:rPr>
        <w:t>Con una cantidad excesiva de grasas totales</w:t>
      </w:r>
      <w:r w:rsidRPr="003A5530">
        <w:rPr>
          <w:rFonts w:ascii="Arial" w:eastAsia="Calibri" w:hAnsi="Arial" w:cs="Arial"/>
          <w:sz w:val="24"/>
          <w:szCs w:val="24"/>
          <w:lang w:val="es-CL"/>
        </w:rPr>
        <w:t>, si en cualquier cantidad dada del producto la cantidad de energía (kcal) pro</w:t>
      </w:r>
      <w:r w:rsidRPr="003A5530">
        <w:rPr>
          <w:rFonts w:ascii="Arial" w:eastAsia="Calibri" w:hAnsi="Arial" w:cs="Arial"/>
          <w:sz w:val="24"/>
          <w:szCs w:val="24"/>
          <w:lang w:val="es-CL"/>
        </w:rPr>
        <w:softHyphen/>
        <w:t xml:space="preserve">veniente del total de grasas (gramos de grasas totales x 9 kcal) es igual o mayor a 30% del total de energía (kcal). </w:t>
      </w:r>
    </w:p>
    <w:p w:rsidR="007B5DEA" w:rsidRPr="003A5530" w:rsidRDefault="007B5DEA" w:rsidP="003A5530">
      <w:pPr>
        <w:spacing w:after="0" w:line="360" w:lineRule="auto"/>
        <w:ind w:left="720"/>
        <w:contextualSpacing/>
        <w:rPr>
          <w:rFonts w:ascii="Arial" w:eastAsia="Calibri" w:hAnsi="Arial" w:cs="Arial"/>
          <w:b/>
          <w:bCs/>
          <w:sz w:val="24"/>
          <w:szCs w:val="24"/>
          <w:lang w:val="es-CL"/>
        </w:rPr>
      </w:pPr>
    </w:p>
    <w:p w:rsidR="007B5DEA" w:rsidRPr="003A5530" w:rsidRDefault="007B5DEA" w:rsidP="003A5530">
      <w:pPr>
        <w:numPr>
          <w:ilvl w:val="0"/>
          <w:numId w:val="2"/>
        </w:numPr>
        <w:spacing w:after="0" w:line="360" w:lineRule="auto"/>
        <w:contextualSpacing/>
        <w:jc w:val="both"/>
        <w:rPr>
          <w:rFonts w:ascii="Arial" w:eastAsia="Calibri" w:hAnsi="Arial" w:cs="Arial"/>
          <w:sz w:val="24"/>
          <w:szCs w:val="24"/>
          <w:lang w:val="es-CL"/>
        </w:rPr>
      </w:pPr>
      <w:r w:rsidRPr="003A5530">
        <w:rPr>
          <w:rFonts w:ascii="Arial" w:eastAsia="Calibri" w:hAnsi="Arial" w:cs="Arial"/>
          <w:b/>
          <w:bCs/>
          <w:sz w:val="24"/>
          <w:szCs w:val="24"/>
          <w:lang w:val="es-CL"/>
        </w:rPr>
        <w:t>Con una cantidad excesiva de grasas saturadas</w:t>
      </w:r>
      <w:r w:rsidRPr="003A5530">
        <w:rPr>
          <w:rFonts w:ascii="Arial" w:eastAsia="Calibri" w:hAnsi="Arial" w:cs="Arial"/>
          <w:sz w:val="24"/>
          <w:szCs w:val="24"/>
          <w:lang w:val="es-CL"/>
        </w:rPr>
        <w:t>, si en cual</w:t>
      </w:r>
      <w:r w:rsidRPr="003A5530">
        <w:rPr>
          <w:rFonts w:ascii="Arial" w:eastAsia="Calibri" w:hAnsi="Arial" w:cs="Arial"/>
          <w:sz w:val="24"/>
          <w:szCs w:val="24"/>
          <w:lang w:val="es-CL"/>
        </w:rPr>
        <w:softHyphen/>
        <w:t xml:space="preserve">quier cantidad dada del producto la cantidad de energía (kcal) proveniente de grasas saturadas (gramos de grasas saturadas x 9 kcal) es igual o mayor a 10% del total de energía (kcal). </w:t>
      </w:r>
    </w:p>
    <w:p w:rsidR="007B5DEA" w:rsidRPr="003A5530" w:rsidRDefault="007B5DEA" w:rsidP="003A5530">
      <w:pPr>
        <w:spacing w:after="0" w:line="360" w:lineRule="auto"/>
        <w:ind w:left="720"/>
        <w:contextualSpacing/>
        <w:rPr>
          <w:rFonts w:ascii="Arial" w:eastAsia="Calibri" w:hAnsi="Arial" w:cs="Arial"/>
          <w:b/>
          <w:bCs/>
          <w:sz w:val="24"/>
          <w:szCs w:val="24"/>
          <w:lang w:val="es-CL"/>
        </w:rPr>
      </w:pPr>
    </w:p>
    <w:p w:rsidR="007B5DEA" w:rsidRPr="003A5530" w:rsidRDefault="007B5DEA" w:rsidP="003A5530">
      <w:pPr>
        <w:numPr>
          <w:ilvl w:val="0"/>
          <w:numId w:val="2"/>
        </w:numPr>
        <w:spacing w:after="0" w:line="360" w:lineRule="auto"/>
        <w:contextualSpacing/>
        <w:jc w:val="both"/>
        <w:rPr>
          <w:rFonts w:ascii="Arial" w:eastAsia="Calibri" w:hAnsi="Arial" w:cs="Arial"/>
          <w:sz w:val="24"/>
          <w:szCs w:val="24"/>
          <w:lang w:val="es-CL"/>
        </w:rPr>
      </w:pPr>
      <w:r w:rsidRPr="003A5530">
        <w:rPr>
          <w:rFonts w:ascii="Arial" w:eastAsia="Calibri" w:hAnsi="Arial" w:cs="Arial"/>
          <w:b/>
          <w:bCs/>
          <w:sz w:val="24"/>
          <w:szCs w:val="24"/>
          <w:lang w:val="es-CL"/>
        </w:rPr>
        <w:t>Con una cantidad excesiva de grasas trans</w:t>
      </w:r>
      <w:r w:rsidRPr="003A5530">
        <w:rPr>
          <w:rFonts w:ascii="Arial" w:eastAsia="Calibri" w:hAnsi="Arial" w:cs="Arial"/>
          <w:sz w:val="24"/>
          <w:szCs w:val="24"/>
          <w:lang w:val="es-CL"/>
        </w:rPr>
        <w:t>, si en cualquier cantidad dada del producto la cantidad de energía (kcal) prove</w:t>
      </w:r>
      <w:r w:rsidRPr="003A5530">
        <w:rPr>
          <w:rFonts w:ascii="Arial" w:eastAsia="Calibri" w:hAnsi="Arial" w:cs="Arial"/>
          <w:sz w:val="24"/>
          <w:szCs w:val="24"/>
          <w:lang w:val="es-CL"/>
        </w:rPr>
        <w:softHyphen/>
        <w:t>niente de grasas trans (gramos de grasas trans x 9 kcal) es igual o mayor a 1% del total de energía (kcal).</w:t>
      </w:r>
    </w:p>
    <w:p w:rsidR="007B5DEA" w:rsidRDefault="007B5DEA" w:rsidP="003A5530">
      <w:pPr>
        <w:spacing w:after="0" w:line="360" w:lineRule="auto"/>
        <w:ind w:left="720"/>
        <w:contextualSpacing/>
        <w:rPr>
          <w:rFonts w:ascii="Arial" w:eastAsia="Calibri" w:hAnsi="Arial" w:cs="Arial"/>
          <w:sz w:val="24"/>
          <w:szCs w:val="24"/>
          <w:lang w:val="es-MX"/>
        </w:rPr>
      </w:pPr>
    </w:p>
    <w:p w:rsidR="00194B87" w:rsidRPr="003A5530" w:rsidRDefault="00194B87" w:rsidP="003A5530">
      <w:pPr>
        <w:spacing w:after="0" w:line="360" w:lineRule="auto"/>
        <w:ind w:left="720"/>
        <w:contextualSpacing/>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MX"/>
        </w:rPr>
        <w:t xml:space="preserve">Por ello, la </w:t>
      </w:r>
      <w:r w:rsidRPr="003A5530">
        <w:rPr>
          <w:rFonts w:ascii="Arial" w:eastAsia="Calibri" w:hAnsi="Arial" w:cs="Arial"/>
          <w:sz w:val="24"/>
          <w:szCs w:val="24"/>
          <w:lang w:val="es-CL"/>
        </w:rPr>
        <w:t xml:space="preserve">OPS plantea al etiquetado frontal como una de sus líneas de acción para la prevención de la obesidad en la niñez y la adolescencia. Posteriormente, la Organización Mundial de la Salud, en el Informe de la Comisión para Acabar con la Obesidad Infantil (ECHO) propone poner en marcha un etiquetado del frente del </w:t>
      </w:r>
      <w:r w:rsidRPr="003A5530">
        <w:rPr>
          <w:rFonts w:ascii="Arial" w:eastAsia="Calibri" w:hAnsi="Arial" w:cs="Arial"/>
          <w:sz w:val="24"/>
          <w:szCs w:val="24"/>
          <w:lang w:val="es-CL"/>
        </w:rPr>
        <w:lastRenderedPageBreak/>
        <w:t>envase fácil de interpretar, apoyado en la educación del público para que tanto los adultos como los niños tengan conocimientos básicos en materia de nutrición</w:t>
      </w:r>
      <w:r w:rsidRPr="003A5530">
        <w:rPr>
          <w:rFonts w:ascii="Arial" w:eastAsia="Calibri" w:hAnsi="Arial" w:cs="Arial"/>
          <w:sz w:val="24"/>
          <w:szCs w:val="24"/>
          <w:vertAlign w:val="superscript"/>
          <w:lang w:val="es-CL"/>
        </w:rPr>
        <w:footnoteReference w:id="18"/>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MX"/>
        </w:rPr>
        <w:t>Así, p</w:t>
      </w:r>
      <w:r w:rsidRPr="003A5530">
        <w:rPr>
          <w:rFonts w:ascii="Arial" w:eastAsia="Calibri" w:hAnsi="Arial" w:cs="Arial"/>
          <w:sz w:val="24"/>
          <w:szCs w:val="24"/>
          <w:lang w:val="es-CL"/>
        </w:rPr>
        <w:t>ara alertar a los consumidores sobre el contenido de nutrientes críticos de productos alimenticios y bebidas envasados con excesivas cantidades de azúcar, grasas totales, grasas saturadas, grasas trans y/o sodio, la OPS recomienda la aplicación de un octágono de advertencia textual de fondo negro y letras blancas en la parte superior de la cara frontal de la etiqueta de los productos, aislado de los otros elementos de la etiqueta frontal por un contorno blanco, a los efectos de ofrecer mejor contraste y así facilitar la lectura</w:t>
      </w:r>
      <w:r w:rsidRPr="003A5530">
        <w:rPr>
          <w:rFonts w:ascii="Arial" w:eastAsia="Calibri" w:hAnsi="Arial" w:cs="Arial"/>
          <w:sz w:val="24"/>
          <w:szCs w:val="24"/>
          <w:vertAlign w:val="superscript"/>
          <w:lang w:val="es-CL"/>
        </w:rPr>
        <w:footnoteReference w:id="19"/>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Por ejemplo, este es el sistema de octágonos utilizado en México:</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noProof/>
          <w:sz w:val="24"/>
          <w:szCs w:val="24"/>
          <w:lang w:eastAsia="es-CR"/>
        </w:rPr>
        <w:drawing>
          <wp:inline distT="0" distB="0" distL="0" distR="0" wp14:anchorId="79968F75" wp14:editId="200A7950">
            <wp:extent cx="5612130" cy="1233170"/>
            <wp:effectExtent l="0" t="0" r="762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ÉXICO.jpg"/>
                    <pic:cNvPicPr/>
                  </pic:nvPicPr>
                  <pic:blipFill>
                    <a:blip r:embed="rId9">
                      <a:extLst>
                        <a:ext uri="{28A0092B-C50C-407E-A947-70E740481C1C}">
                          <a14:useLocalDpi xmlns:a14="http://schemas.microsoft.com/office/drawing/2010/main" val="0"/>
                        </a:ext>
                      </a:extLst>
                    </a:blip>
                    <a:stretch>
                      <a:fillRect/>
                    </a:stretch>
                  </pic:blipFill>
                  <pic:spPr>
                    <a:xfrm>
                      <a:off x="0" y="0"/>
                      <a:ext cx="5612130" cy="1233170"/>
                    </a:xfrm>
                    <a:prstGeom prst="rect">
                      <a:avLst/>
                    </a:prstGeom>
                  </pic:spPr>
                </pic:pic>
              </a:graphicData>
            </a:graphic>
          </wp:inline>
        </w:drawing>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Lo anterior, por cuanto un vasto y robusto cuerpo de evidencia científica ha demostrado que los consumidores emplean muy poco tiempo y muy poco esfuerzo cognitivo para tomar una decisión al momento de la compra, por esta razón, se recomiendan sistemas de advertencias frontales que interpretan la información nutricional, agregan facilidad y rapidez al acceso a la información, mejorando la capacidad del consumidor de tomar una decisión crítica y mejor informada</w:t>
      </w:r>
      <w:r w:rsidRPr="003A5530">
        <w:rPr>
          <w:rFonts w:ascii="Arial" w:eastAsia="Calibri" w:hAnsi="Arial" w:cs="Arial"/>
          <w:sz w:val="24"/>
          <w:szCs w:val="24"/>
          <w:vertAlign w:val="superscript"/>
          <w:lang w:val="es-CL"/>
        </w:rPr>
        <w:footnoteReference w:id="20"/>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En este sentido, se debe aplicar un sistema de etiquetado frontal que informe al consumidor de forma directa, sencilla y rápida cuando el producto contiene </w:t>
      </w:r>
      <w:r w:rsidRPr="003A5530">
        <w:rPr>
          <w:rFonts w:ascii="Arial" w:eastAsia="Calibri" w:hAnsi="Arial" w:cs="Arial"/>
          <w:sz w:val="24"/>
          <w:szCs w:val="24"/>
          <w:lang w:val="es-CL"/>
        </w:rPr>
        <w:lastRenderedPageBreak/>
        <w:t xml:space="preserve">cantidades excesivas de azúcar, sodio, grasas totales, grasas saturadas, y/o grasas </w:t>
      </w:r>
      <w:r w:rsidRPr="003A5530">
        <w:rPr>
          <w:rFonts w:ascii="Arial" w:eastAsia="Calibri" w:hAnsi="Arial" w:cs="Arial"/>
          <w:i/>
          <w:iCs/>
          <w:sz w:val="24"/>
          <w:szCs w:val="24"/>
          <w:lang w:val="es-CL"/>
        </w:rPr>
        <w:t>trans</w:t>
      </w:r>
      <w:r w:rsidRPr="003A5530">
        <w:rPr>
          <w:rFonts w:ascii="Arial" w:eastAsia="Calibri" w:hAnsi="Arial" w:cs="Arial"/>
          <w:i/>
          <w:iCs/>
          <w:sz w:val="24"/>
          <w:szCs w:val="24"/>
          <w:vertAlign w:val="superscript"/>
          <w:lang w:val="es-CL"/>
        </w:rPr>
        <w:footnoteReference w:id="21"/>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La evidencia también demuestra que los sellos de advertencia nutricional frontal reducen significativamente la importancia relativa y el poder de manipulación de personajes infantiles, y de otros elementos de persuasión o engaño aplicados al etiquetado (como por ejemplo, imágenes de frutas frescas en productos que no contienen fruta fresca), y aumentan la importancia de la información frontal para el consumidor</w:t>
      </w:r>
      <w:r w:rsidRPr="003A5530">
        <w:rPr>
          <w:rFonts w:ascii="Arial" w:eastAsia="Calibri" w:hAnsi="Arial" w:cs="Arial"/>
          <w:sz w:val="24"/>
          <w:szCs w:val="24"/>
          <w:vertAlign w:val="superscript"/>
          <w:lang w:val="es-CL"/>
        </w:rPr>
        <w:footnoteReference w:id="22"/>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Similarmente a lo que se ha comprobado en el caso del tabaco, hay evidencia sobre el efecto dosis-respuesta de la efectividad de advertencias, en función del tamaño de la advertencia aplicada a la etiqueta de productos nocivos a la salud, o sea, cuanto mayor la advertencia mejor su efecto en alertar al consumidor</w:t>
      </w:r>
      <w:r w:rsidRPr="003A5530">
        <w:rPr>
          <w:rFonts w:ascii="Arial" w:eastAsia="Calibri" w:hAnsi="Arial" w:cs="Arial"/>
          <w:sz w:val="24"/>
          <w:szCs w:val="24"/>
          <w:vertAlign w:val="superscript"/>
          <w:lang w:val="es-CL"/>
        </w:rPr>
        <w:footnoteReference w:id="23"/>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No obstante, hay que tomar en consideración que la OPS </w:t>
      </w:r>
      <w:r w:rsidRPr="003A5530">
        <w:rPr>
          <w:rFonts w:ascii="Arial" w:eastAsia="Calibri" w:hAnsi="Arial" w:cs="Arial"/>
          <w:bCs/>
          <w:i/>
          <w:iCs/>
          <w:sz w:val="24"/>
          <w:szCs w:val="24"/>
          <w:lang w:val="es-CL"/>
        </w:rPr>
        <w:t xml:space="preserve">no recomienda </w:t>
      </w:r>
      <w:r w:rsidRPr="003A5530">
        <w:rPr>
          <w:rFonts w:ascii="Arial" w:eastAsia="Calibri" w:hAnsi="Arial" w:cs="Arial"/>
          <w:sz w:val="24"/>
          <w:szCs w:val="24"/>
          <w:lang w:val="es-CL"/>
        </w:rPr>
        <w:t>adoptar sistemas de etiquetado frontal que ofrezcan datos multivalentes, o sea, productos que pueden asumir clasificaciones simultáneas de “alto”, “medio” y “bajo” en los diferentes nutrientes (o “rojo”, “amarillo” y “verde” en el caso de que se usen colores). Tal valencia múltiple puede mover el consumidor a ignorar la información e incluso estimular la compra de productos no recomendados, ya que la indicación de “bajo” (o “verde”) o “medio” (o “amarillo”) en un nutriente puede estimular el consumo de productos que son “altos” en otros nutrientes críticos, imponiendo así un desequilibrio a la proporcionalidad recomendada de la ingesta de nutrientes, e impidiendo que el consumidor pueda tomar una decisión crítica e informada</w:t>
      </w:r>
      <w:r w:rsidRPr="003A5530">
        <w:rPr>
          <w:rFonts w:ascii="Arial" w:eastAsia="Calibri" w:hAnsi="Arial" w:cs="Arial"/>
          <w:sz w:val="24"/>
          <w:szCs w:val="24"/>
          <w:vertAlign w:val="superscript"/>
          <w:lang w:val="es-CL"/>
        </w:rPr>
        <w:footnoteReference w:id="24"/>
      </w:r>
      <w:r w:rsidRPr="003A5530">
        <w:rPr>
          <w:rFonts w:ascii="Arial" w:eastAsia="Calibri" w:hAnsi="Arial" w:cs="Arial"/>
          <w:sz w:val="24"/>
          <w:szCs w:val="24"/>
          <w:lang w:val="es-CL"/>
        </w:rPr>
        <w:t>.</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La evidencia también demuestra que la presencia de tantas posibilidades de combinación entre “alto”, “medio” y “bajo” (o en su caso “rojo”, “amarillo” y “verde”), </w:t>
      </w:r>
      <w:r w:rsidRPr="003A5530">
        <w:rPr>
          <w:rFonts w:ascii="Arial" w:eastAsia="Calibri" w:hAnsi="Arial" w:cs="Arial"/>
          <w:sz w:val="24"/>
          <w:szCs w:val="24"/>
          <w:lang w:val="es-CL"/>
        </w:rPr>
        <w:lastRenderedPageBreak/>
        <w:t>para los distintos nutrientes, al exigir mayor esfuerzo y tiempo del consumidor, aumenta el grado de abstracción en la comparación de productos y como resultado el consumidor ignora la información, acercándose de otros elementos que activan su emoción y apetito (por ejemplo: verde en otro nutriente, o un personaje infantil en la caja del producto), y por tanto una toma la decisión de forma menos crítica e informada, tornándose más vulnerable a engaños</w:t>
      </w:r>
      <w:r w:rsidRPr="003A5530">
        <w:rPr>
          <w:rFonts w:ascii="Arial" w:eastAsia="Calibri" w:hAnsi="Arial" w:cs="Arial"/>
          <w:sz w:val="24"/>
          <w:szCs w:val="24"/>
          <w:vertAlign w:val="superscript"/>
          <w:lang w:val="es-CL"/>
        </w:rPr>
        <w:footnoteReference w:id="25"/>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Como ejemplo de este sistema de semáforo, ejemplificamos con el que utiliza Ecuador:</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center"/>
        <w:rPr>
          <w:rFonts w:ascii="Arial" w:eastAsia="Calibri" w:hAnsi="Arial" w:cs="Arial"/>
          <w:sz w:val="24"/>
          <w:szCs w:val="24"/>
          <w:lang w:val="es-CL"/>
        </w:rPr>
      </w:pPr>
      <w:r w:rsidRPr="003A5530">
        <w:rPr>
          <w:rFonts w:ascii="Arial" w:eastAsia="Calibri" w:hAnsi="Arial" w:cs="Arial"/>
          <w:noProof/>
          <w:sz w:val="24"/>
          <w:szCs w:val="24"/>
          <w:lang w:eastAsia="es-CR"/>
        </w:rPr>
        <w:drawing>
          <wp:inline distT="0" distB="0" distL="0" distR="0" wp14:anchorId="4CDCA4A3" wp14:editId="47A4F25B">
            <wp:extent cx="2280646" cy="2122998"/>
            <wp:effectExtent l="0" t="0" r="571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MÁFORO ECUADOR.jpg"/>
                    <pic:cNvPicPr/>
                  </pic:nvPicPr>
                  <pic:blipFill>
                    <a:blip r:embed="rId10">
                      <a:extLst>
                        <a:ext uri="{28A0092B-C50C-407E-A947-70E740481C1C}">
                          <a14:useLocalDpi xmlns:a14="http://schemas.microsoft.com/office/drawing/2010/main" val="0"/>
                        </a:ext>
                      </a:extLst>
                    </a:blip>
                    <a:stretch>
                      <a:fillRect/>
                    </a:stretch>
                  </pic:blipFill>
                  <pic:spPr>
                    <a:xfrm>
                      <a:off x="0" y="0"/>
                      <a:ext cx="2347928" cy="2185629"/>
                    </a:xfrm>
                    <a:prstGeom prst="rect">
                      <a:avLst/>
                    </a:prstGeom>
                  </pic:spPr>
                </pic:pic>
              </a:graphicData>
            </a:graphic>
          </wp:inline>
        </w:drawing>
      </w:r>
    </w:p>
    <w:p w:rsidR="007B5DEA" w:rsidRPr="003A5530" w:rsidRDefault="007B5DEA" w:rsidP="003A5530">
      <w:pPr>
        <w:spacing w:after="0" w:line="360" w:lineRule="auto"/>
        <w:jc w:val="center"/>
        <w:rPr>
          <w:rFonts w:ascii="Arial" w:eastAsia="Calibri" w:hAnsi="Arial" w:cs="Arial"/>
          <w:sz w:val="24"/>
          <w:szCs w:val="24"/>
          <w:lang w:val="es-CL"/>
        </w:rPr>
      </w:pPr>
    </w:p>
    <w:p w:rsidR="00A33423" w:rsidRPr="003A5530" w:rsidRDefault="00A33423"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Sistemas como el </w:t>
      </w:r>
      <w:r w:rsidRPr="003A5530">
        <w:rPr>
          <w:rFonts w:ascii="Arial" w:eastAsia="Calibri" w:hAnsi="Arial" w:cs="Arial"/>
          <w:i/>
          <w:iCs/>
          <w:sz w:val="24"/>
          <w:szCs w:val="24"/>
          <w:lang w:val="es-CL"/>
        </w:rPr>
        <w:t xml:space="preserve">GDA </w:t>
      </w:r>
      <w:r w:rsidRPr="003A5530">
        <w:rPr>
          <w:rFonts w:ascii="Arial" w:eastAsia="Calibri" w:hAnsi="Arial" w:cs="Arial"/>
          <w:sz w:val="24"/>
          <w:szCs w:val="24"/>
          <w:lang w:val="es-CL"/>
        </w:rPr>
        <w:t xml:space="preserve">o </w:t>
      </w:r>
      <w:r w:rsidRPr="003A5530">
        <w:rPr>
          <w:rFonts w:ascii="Arial" w:eastAsia="Calibri" w:hAnsi="Arial" w:cs="Arial"/>
          <w:i/>
          <w:iCs/>
          <w:sz w:val="24"/>
          <w:szCs w:val="24"/>
          <w:lang w:val="es-CL"/>
        </w:rPr>
        <w:t xml:space="preserve">GDA </w:t>
      </w:r>
      <w:r w:rsidRPr="003A5530">
        <w:rPr>
          <w:rFonts w:ascii="Arial" w:eastAsia="Calibri" w:hAnsi="Arial" w:cs="Arial"/>
          <w:sz w:val="24"/>
          <w:szCs w:val="24"/>
          <w:lang w:val="es-CL"/>
        </w:rPr>
        <w:t>tipo semáforo no ofrecen información en una forma sencilla que pueda ser entendida por todos los consumidores, independientemente de su grado de educación o incluso edad. Ofrecen datos, que exigen del consumidor cálculos matemáticos, eventualmente tener una calculadora a mano y conocimientos sobre nutrición para que la información pueda ser interpretada a fin de que apoye la toma de decisión. Estos sistemas exigen mucho más tiempo del que el consumidor utiliza para tomar una decisión de compra, y además exigen habilidades y conocimientos no necesariamente disponibles o accesibles</w:t>
      </w:r>
      <w:r w:rsidRPr="003A5530">
        <w:rPr>
          <w:rFonts w:ascii="Arial" w:eastAsia="Calibri" w:hAnsi="Arial" w:cs="Arial"/>
          <w:sz w:val="24"/>
          <w:szCs w:val="24"/>
          <w:vertAlign w:val="superscript"/>
          <w:lang w:val="es-CL"/>
        </w:rPr>
        <w:footnoteReference w:id="26"/>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lastRenderedPageBreak/>
        <w:t>Además, dificultan la comparación intra- e inter-productos, ya que son aplicados por distintas porciones, y presentan distintos números que no son fácil y rápidamente interpretados por el consumidor, como se ejemplifica en el utilizado por el Reino Unido:</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center"/>
        <w:rPr>
          <w:rFonts w:ascii="Arial" w:eastAsia="Calibri" w:hAnsi="Arial" w:cs="Arial"/>
          <w:sz w:val="24"/>
          <w:szCs w:val="24"/>
          <w:lang w:val="es-CL"/>
        </w:rPr>
      </w:pPr>
      <w:r w:rsidRPr="003A5530">
        <w:rPr>
          <w:rFonts w:ascii="Arial" w:eastAsia="Calibri" w:hAnsi="Arial" w:cs="Arial"/>
          <w:noProof/>
          <w:sz w:val="24"/>
          <w:szCs w:val="24"/>
          <w:lang w:eastAsia="es-CR"/>
        </w:rPr>
        <w:drawing>
          <wp:inline distT="0" distB="0" distL="0" distR="0" wp14:anchorId="1DF2718A" wp14:editId="78FA84DC">
            <wp:extent cx="2686694" cy="2070201"/>
            <wp:effectExtent l="0" t="0" r="0" b="635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MÁFORO REINO UNIDO.jpg"/>
                    <pic:cNvPicPr/>
                  </pic:nvPicPr>
                  <pic:blipFill>
                    <a:blip r:embed="rId11">
                      <a:extLst>
                        <a:ext uri="{28A0092B-C50C-407E-A947-70E740481C1C}">
                          <a14:useLocalDpi xmlns:a14="http://schemas.microsoft.com/office/drawing/2010/main" val="0"/>
                        </a:ext>
                      </a:extLst>
                    </a:blip>
                    <a:stretch>
                      <a:fillRect/>
                    </a:stretch>
                  </pic:blipFill>
                  <pic:spPr>
                    <a:xfrm>
                      <a:off x="0" y="0"/>
                      <a:ext cx="2839465" cy="2187917"/>
                    </a:xfrm>
                    <a:prstGeom prst="rect">
                      <a:avLst/>
                    </a:prstGeom>
                  </pic:spPr>
                </pic:pic>
              </a:graphicData>
            </a:graphic>
          </wp:inline>
        </w:drawing>
      </w:r>
    </w:p>
    <w:p w:rsidR="00A33423" w:rsidRPr="003A5530" w:rsidRDefault="00A33423"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Es por esto que, para el desarrollo e implementación del etiquetado se debe considerar que un etiquetado frontal es efectivo cuando se muestra de manera simple, consistente, llamativa y que se pueda interpretar rápidamente. Para esto </w:t>
      </w:r>
      <w:r w:rsidR="00A33423" w:rsidRPr="003A5530">
        <w:rPr>
          <w:rFonts w:ascii="Arial" w:eastAsia="Calibri" w:hAnsi="Arial" w:cs="Arial"/>
          <w:sz w:val="24"/>
          <w:szCs w:val="24"/>
          <w:lang w:val="es-CL"/>
        </w:rPr>
        <w:t xml:space="preserve">desde la UNICEF </w:t>
      </w:r>
      <w:r w:rsidRPr="003A5530">
        <w:rPr>
          <w:rFonts w:ascii="Arial" w:eastAsia="Calibri" w:hAnsi="Arial" w:cs="Arial"/>
          <w:sz w:val="24"/>
          <w:szCs w:val="24"/>
          <w:lang w:val="es-CL"/>
        </w:rPr>
        <w:t>se propone dirigir los esfuerzos de la regulación del etiquetado frontal a los grupos más vulnerables (quienes tienen menor nivel de educación, menor nivel socioeconómico y viven en zonas rurales, entre otros) y se promueva la implementación de un etiquetado frontal de alimentos y bebidas industrializados simple, llamativo, que no requiera de habilidades matemáticas, que tome poco tiempo para interpretarlo y que sea consistente en toda la región</w:t>
      </w:r>
      <w:r w:rsidRPr="003A5530">
        <w:rPr>
          <w:rFonts w:ascii="Arial" w:eastAsia="Calibri" w:hAnsi="Arial" w:cs="Arial"/>
          <w:sz w:val="24"/>
          <w:szCs w:val="24"/>
          <w:vertAlign w:val="superscript"/>
          <w:lang w:val="es-CL"/>
        </w:rPr>
        <w:footnoteReference w:id="27"/>
      </w:r>
      <w:r w:rsidRPr="003A5530">
        <w:rPr>
          <w:rFonts w:ascii="Arial" w:eastAsia="Calibri" w:hAnsi="Arial" w:cs="Arial"/>
          <w:sz w:val="24"/>
          <w:szCs w:val="24"/>
          <w:lang w:val="es-CL"/>
        </w:rPr>
        <w:t>.</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A33423"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Según dicho organismo internacional, e</w:t>
      </w:r>
      <w:r w:rsidR="007B5DEA" w:rsidRPr="003A5530">
        <w:rPr>
          <w:rFonts w:ascii="Arial" w:eastAsia="Calibri" w:hAnsi="Arial" w:cs="Arial"/>
          <w:sz w:val="24"/>
          <w:szCs w:val="24"/>
          <w:lang w:val="es-CL"/>
        </w:rPr>
        <w:t xml:space="preserve">l desarrollo del etiquetado debe ser respaldado y elaborado con evidencia científica, generada por instituciones que no tengan conflicto de interés; debe incluir los diferentes elementos del empaque de </w:t>
      </w:r>
      <w:r w:rsidR="007B5DEA" w:rsidRPr="003A5530">
        <w:rPr>
          <w:rFonts w:ascii="Arial" w:eastAsia="Calibri" w:hAnsi="Arial" w:cs="Arial"/>
          <w:sz w:val="24"/>
          <w:szCs w:val="24"/>
          <w:lang w:val="es-CL"/>
        </w:rPr>
        <w:lastRenderedPageBreak/>
        <w:t>alimentos y bebidas, y debe ir acompañado de una campaña educativa que asegure su sustentabilidad, con al menos los siguientes elementos recomendados por Simón Barquera desde la UNICEF</w:t>
      </w:r>
      <w:r w:rsidR="007B5DEA" w:rsidRPr="003A5530">
        <w:rPr>
          <w:rFonts w:ascii="Arial" w:eastAsia="Calibri" w:hAnsi="Arial" w:cs="Arial"/>
          <w:sz w:val="24"/>
          <w:szCs w:val="24"/>
          <w:vertAlign w:val="superscript"/>
          <w:lang w:val="es-CL"/>
        </w:rPr>
        <w:footnoteReference w:id="28"/>
      </w:r>
      <w:r w:rsidR="007B5DEA" w:rsidRPr="003A5530">
        <w:rPr>
          <w:rFonts w:ascii="Arial" w:eastAsia="Calibri" w:hAnsi="Arial" w:cs="Arial"/>
          <w:sz w:val="24"/>
          <w:szCs w:val="24"/>
          <w:lang w:val="es-CL"/>
        </w:rPr>
        <w:t>:</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numPr>
          <w:ilvl w:val="0"/>
          <w:numId w:val="3"/>
        </w:numPr>
        <w:spacing w:after="0" w:line="360" w:lineRule="auto"/>
        <w:contextualSpacing/>
        <w:jc w:val="both"/>
        <w:rPr>
          <w:rFonts w:ascii="Arial" w:eastAsia="Calibri" w:hAnsi="Arial" w:cs="Arial"/>
          <w:b/>
          <w:bCs/>
          <w:sz w:val="24"/>
          <w:szCs w:val="24"/>
          <w:lang w:val="es-CL"/>
        </w:rPr>
      </w:pPr>
      <w:r w:rsidRPr="003A5530">
        <w:rPr>
          <w:rFonts w:ascii="Arial" w:eastAsia="Calibri" w:hAnsi="Arial" w:cs="Arial"/>
          <w:b/>
          <w:bCs/>
          <w:sz w:val="24"/>
          <w:szCs w:val="24"/>
          <w:lang w:val="es-CL"/>
        </w:rPr>
        <w:t xml:space="preserve">La regulación de los diferentes componentes del empaque de los productos: </w:t>
      </w:r>
      <w:r w:rsidRPr="003A5530">
        <w:rPr>
          <w:rFonts w:ascii="Arial" w:eastAsia="Calibri" w:hAnsi="Arial" w:cs="Arial"/>
          <w:sz w:val="24"/>
          <w:szCs w:val="24"/>
          <w:lang w:val="es-CL"/>
        </w:rPr>
        <w:t>Es importante que en la regulación se mencionen todos los componentes del empaque, incluyendo cualquier tipo de leyendas, personajes promocionales, ofertas, entre otros.</w:t>
      </w:r>
    </w:p>
    <w:p w:rsidR="007B5DEA" w:rsidRPr="003A5530" w:rsidRDefault="007B5DEA" w:rsidP="003A5530">
      <w:pPr>
        <w:spacing w:after="0" w:line="360" w:lineRule="auto"/>
        <w:ind w:left="720"/>
        <w:contextualSpacing/>
        <w:jc w:val="both"/>
        <w:rPr>
          <w:rFonts w:ascii="Arial" w:eastAsia="Calibri" w:hAnsi="Arial" w:cs="Arial"/>
          <w:b/>
          <w:bCs/>
          <w:sz w:val="24"/>
          <w:szCs w:val="24"/>
          <w:lang w:val="es-CL"/>
        </w:rPr>
      </w:pPr>
    </w:p>
    <w:p w:rsidR="007B5DEA" w:rsidRPr="003A5530" w:rsidRDefault="007B5DEA" w:rsidP="003A5530">
      <w:pPr>
        <w:numPr>
          <w:ilvl w:val="0"/>
          <w:numId w:val="3"/>
        </w:numPr>
        <w:spacing w:after="0" w:line="360" w:lineRule="auto"/>
        <w:contextualSpacing/>
        <w:jc w:val="both"/>
        <w:rPr>
          <w:rFonts w:ascii="Arial" w:eastAsia="Calibri" w:hAnsi="Arial" w:cs="Arial"/>
          <w:b/>
          <w:bCs/>
          <w:sz w:val="24"/>
          <w:szCs w:val="24"/>
          <w:lang w:val="es-CL"/>
        </w:rPr>
      </w:pPr>
      <w:r w:rsidRPr="003A5530">
        <w:rPr>
          <w:rFonts w:ascii="Arial" w:eastAsia="Calibri" w:hAnsi="Arial" w:cs="Arial"/>
          <w:b/>
          <w:bCs/>
          <w:sz w:val="24"/>
          <w:szCs w:val="24"/>
          <w:lang w:val="es-CL"/>
        </w:rPr>
        <w:t xml:space="preserve">El tipo de evidencia que se está considerando para el desarrollo de la regulación: </w:t>
      </w:r>
      <w:r w:rsidRPr="003A5530">
        <w:rPr>
          <w:rFonts w:ascii="Arial" w:eastAsia="Calibri" w:hAnsi="Arial" w:cs="Arial"/>
          <w:sz w:val="24"/>
          <w:szCs w:val="24"/>
          <w:lang w:val="es-CL"/>
        </w:rPr>
        <w:t>La regulación debe estar basada en evidencia científica y que enfatice el contenido de nutrimentos más relevantes relacionados al sobrepeso, obesidad y ECNT de acuerdo con la OMS y OPS como son los azúcares añadidos, grasas, sodio y energía. Se debe implementar un sistema de etiquetado frontal armonizado respaldado por autoridades científicas e instituciones de salud, siguiendo el ejemplo de Chile.</w:t>
      </w:r>
    </w:p>
    <w:p w:rsidR="007B5DEA" w:rsidRPr="003A5530" w:rsidRDefault="007B5DEA" w:rsidP="003A5530">
      <w:pPr>
        <w:spacing w:after="0" w:line="360" w:lineRule="auto"/>
        <w:ind w:left="720"/>
        <w:contextualSpacing/>
        <w:rPr>
          <w:rFonts w:ascii="Arial" w:eastAsia="Calibri" w:hAnsi="Arial" w:cs="Arial"/>
          <w:b/>
          <w:bCs/>
          <w:sz w:val="24"/>
          <w:szCs w:val="24"/>
          <w:lang w:val="es-CL"/>
        </w:rPr>
      </w:pPr>
    </w:p>
    <w:p w:rsidR="007B5DEA" w:rsidRPr="003A5530" w:rsidRDefault="007B5DEA" w:rsidP="003A5530">
      <w:pPr>
        <w:numPr>
          <w:ilvl w:val="0"/>
          <w:numId w:val="3"/>
        </w:numPr>
        <w:spacing w:after="0" w:line="360" w:lineRule="auto"/>
        <w:contextualSpacing/>
        <w:jc w:val="both"/>
        <w:rPr>
          <w:rFonts w:ascii="Arial" w:eastAsia="Calibri" w:hAnsi="Arial" w:cs="Arial"/>
          <w:b/>
          <w:bCs/>
          <w:sz w:val="24"/>
          <w:szCs w:val="24"/>
          <w:lang w:val="es-CL"/>
        </w:rPr>
      </w:pPr>
      <w:r w:rsidRPr="003A5530">
        <w:rPr>
          <w:rFonts w:ascii="Arial" w:eastAsia="Calibri" w:hAnsi="Arial" w:cs="Arial"/>
          <w:b/>
          <w:bCs/>
          <w:sz w:val="24"/>
          <w:szCs w:val="24"/>
          <w:lang w:val="es-CL"/>
        </w:rPr>
        <w:t xml:space="preserve">La armonización de la regulación: </w:t>
      </w:r>
      <w:r w:rsidRPr="003A5530">
        <w:rPr>
          <w:rFonts w:ascii="Arial" w:eastAsia="Calibri" w:hAnsi="Arial" w:cs="Arial"/>
          <w:sz w:val="24"/>
          <w:szCs w:val="24"/>
          <w:lang w:val="es-CL"/>
        </w:rPr>
        <w:t>Es importante promover y alentar las regulaciones armonizadas para la región que tendrían importantes beneficios como el ahorro de recursos durante la promoción, evaluación y monitoreo, generando una mejora continua dinámica y eficiente para fortalecer el etiquetado y asegurar su sustentabilidad.</w:t>
      </w:r>
    </w:p>
    <w:p w:rsidR="007B5DEA" w:rsidRPr="003A5530" w:rsidRDefault="007B5DEA" w:rsidP="003A5530">
      <w:pPr>
        <w:spacing w:after="0" w:line="360" w:lineRule="auto"/>
        <w:ind w:left="720"/>
        <w:contextualSpacing/>
        <w:jc w:val="both"/>
        <w:rPr>
          <w:rFonts w:ascii="Arial" w:eastAsia="Calibri" w:hAnsi="Arial" w:cs="Arial"/>
          <w:b/>
          <w:bCs/>
          <w:sz w:val="24"/>
          <w:szCs w:val="24"/>
          <w:lang w:val="es-CL"/>
        </w:rPr>
      </w:pPr>
    </w:p>
    <w:p w:rsidR="007B5DEA" w:rsidRPr="003A5530" w:rsidRDefault="007B5DEA" w:rsidP="003A5530">
      <w:pPr>
        <w:numPr>
          <w:ilvl w:val="1"/>
          <w:numId w:val="3"/>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Los gobiernos deben promover la implementación y regulación de los componentes del empaque de alimentos y bebidas industrializadas, además de garantizar la transparencia en el proceso de implementación.</w:t>
      </w:r>
    </w:p>
    <w:p w:rsidR="003B0597" w:rsidRPr="003A5530" w:rsidRDefault="003B0597" w:rsidP="003A5530">
      <w:pPr>
        <w:spacing w:after="0" w:line="360" w:lineRule="auto"/>
        <w:ind w:left="1440"/>
        <w:contextualSpacing/>
        <w:jc w:val="both"/>
        <w:rPr>
          <w:rFonts w:ascii="Arial" w:eastAsia="Calibri" w:hAnsi="Arial" w:cs="Arial"/>
          <w:sz w:val="24"/>
          <w:szCs w:val="24"/>
          <w:lang w:val="es-CL"/>
        </w:rPr>
      </w:pPr>
    </w:p>
    <w:p w:rsidR="007B5DEA" w:rsidRPr="003A5530" w:rsidRDefault="007B5DEA" w:rsidP="003A5530">
      <w:pPr>
        <w:numPr>
          <w:ilvl w:val="1"/>
          <w:numId w:val="3"/>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 xml:space="preserve">Las Organizaciones Internacionales y las No Gubernamentales (ONGs) deben promover y alentar la regulación del empaque de </w:t>
      </w:r>
      <w:r w:rsidRPr="003A5530">
        <w:rPr>
          <w:rFonts w:ascii="Arial" w:eastAsia="Calibri" w:hAnsi="Arial" w:cs="Arial"/>
          <w:sz w:val="24"/>
          <w:szCs w:val="24"/>
          <w:lang w:val="es-CL"/>
        </w:rPr>
        <w:lastRenderedPageBreak/>
        <w:t>alimentos y bebidas industrializados, incluyendo el tema en la agenda pública.</w:t>
      </w:r>
    </w:p>
    <w:p w:rsidR="003B0597" w:rsidRPr="003A5530" w:rsidRDefault="003B0597" w:rsidP="003A5530">
      <w:pPr>
        <w:spacing w:after="0" w:line="360" w:lineRule="auto"/>
        <w:ind w:left="1440"/>
        <w:contextualSpacing/>
        <w:jc w:val="both"/>
        <w:rPr>
          <w:rFonts w:ascii="Arial" w:eastAsia="Calibri" w:hAnsi="Arial" w:cs="Arial"/>
          <w:sz w:val="24"/>
          <w:szCs w:val="24"/>
          <w:lang w:val="es-CL"/>
        </w:rPr>
      </w:pPr>
    </w:p>
    <w:p w:rsidR="007B5DEA" w:rsidRPr="003A5530" w:rsidRDefault="007B5DEA" w:rsidP="003A5530">
      <w:pPr>
        <w:numPr>
          <w:ilvl w:val="1"/>
          <w:numId w:val="3"/>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Todos los actores involucrados deberán declarar públicamente sus intereses, incluyendo el trabajo previo y actual, así como sus fuentes de financiamiento.</w:t>
      </w:r>
    </w:p>
    <w:p w:rsidR="007B5DEA" w:rsidRPr="003A5530" w:rsidRDefault="007B5DEA" w:rsidP="003A5530">
      <w:pPr>
        <w:spacing w:after="0" w:line="360" w:lineRule="auto"/>
        <w:ind w:left="1440"/>
        <w:contextualSpacing/>
        <w:jc w:val="both"/>
        <w:rPr>
          <w:rFonts w:ascii="Arial" w:eastAsia="Calibri" w:hAnsi="Arial" w:cs="Arial"/>
          <w:b/>
          <w:bCs/>
          <w:sz w:val="24"/>
          <w:szCs w:val="24"/>
          <w:lang w:val="es-CL"/>
        </w:rPr>
      </w:pPr>
    </w:p>
    <w:p w:rsidR="003B0597" w:rsidRPr="003A5530" w:rsidRDefault="003B0597" w:rsidP="003A5530">
      <w:pPr>
        <w:spacing w:after="0" w:line="360" w:lineRule="auto"/>
        <w:ind w:left="1440"/>
        <w:contextualSpacing/>
        <w:jc w:val="both"/>
        <w:rPr>
          <w:rFonts w:ascii="Arial" w:eastAsia="Calibri" w:hAnsi="Arial" w:cs="Arial"/>
          <w:b/>
          <w:bCs/>
          <w:sz w:val="24"/>
          <w:szCs w:val="24"/>
          <w:lang w:val="es-CL"/>
        </w:rPr>
      </w:pPr>
    </w:p>
    <w:p w:rsidR="007B5DEA" w:rsidRPr="003A5530" w:rsidRDefault="007B5DEA" w:rsidP="003A5530">
      <w:pPr>
        <w:numPr>
          <w:ilvl w:val="0"/>
          <w:numId w:val="3"/>
        </w:numPr>
        <w:spacing w:after="0" w:line="360" w:lineRule="auto"/>
        <w:contextualSpacing/>
        <w:jc w:val="both"/>
        <w:rPr>
          <w:rFonts w:ascii="Arial" w:eastAsia="Calibri" w:hAnsi="Arial" w:cs="Arial"/>
          <w:b/>
          <w:bCs/>
          <w:sz w:val="24"/>
          <w:szCs w:val="24"/>
          <w:lang w:val="es-CL"/>
        </w:rPr>
      </w:pPr>
      <w:r w:rsidRPr="003A5530">
        <w:rPr>
          <w:rFonts w:ascii="Arial" w:eastAsia="Calibri" w:hAnsi="Arial" w:cs="Arial"/>
          <w:b/>
          <w:bCs/>
          <w:sz w:val="24"/>
          <w:szCs w:val="24"/>
          <w:lang w:val="es-CL"/>
        </w:rPr>
        <w:t xml:space="preserve">El desarrollo de campañas educativas continuas: </w:t>
      </w:r>
      <w:r w:rsidRPr="003A5530">
        <w:rPr>
          <w:rFonts w:ascii="Arial" w:eastAsia="Calibri" w:hAnsi="Arial" w:cs="Arial"/>
          <w:sz w:val="24"/>
          <w:szCs w:val="24"/>
          <w:lang w:val="es-CL"/>
        </w:rPr>
        <w:t>Es importante desarrollar estas campañas para mejorar el entendimiento y el uso por parte de los consumidores, especialmente para los padres, madres y cuidadores como responsables de las compras para sus hijos e hijas. La sociedad civil debe proveer información acerca del uso y el entendimiento de los sistemas de etiquetado frontal, solicitar y exigir mejores prácticas.</w:t>
      </w:r>
    </w:p>
    <w:p w:rsidR="007B5DEA" w:rsidRPr="003A5530" w:rsidRDefault="007B5DEA" w:rsidP="003A5530">
      <w:pPr>
        <w:spacing w:after="0" w:line="360" w:lineRule="auto"/>
        <w:jc w:val="both"/>
        <w:rPr>
          <w:rFonts w:ascii="Arial" w:eastAsia="Calibri" w:hAnsi="Arial" w:cs="Arial"/>
          <w:sz w:val="24"/>
          <w:szCs w:val="24"/>
          <w:lang w:val="es-MX"/>
        </w:rPr>
      </w:pPr>
    </w:p>
    <w:p w:rsidR="00A33423" w:rsidRDefault="00A33423" w:rsidP="003A5530">
      <w:pPr>
        <w:spacing w:after="0" w:line="360" w:lineRule="auto"/>
        <w:jc w:val="both"/>
        <w:rPr>
          <w:rFonts w:ascii="Arial" w:eastAsia="Calibri" w:hAnsi="Arial" w:cs="Arial"/>
          <w:sz w:val="24"/>
          <w:szCs w:val="24"/>
          <w:lang w:val="es-MX"/>
        </w:rPr>
      </w:pPr>
    </w:p>
    <w:p w:rsidR="00194B87" w:rsidRPr="003A5530" w:rsidRDefault="00194B87" w:rsidP="003A5530">
      <w:pPr>
        <w:spacing w:after="0" w:line="360" w:lineRule="auto"/>
        <w:jc w:val="both"/>
        <w:rPr>
          <w:rFonts w:ascii="Arial" w:eastAsia="Calibri" w:hAnsi="Arial" w:cs="Arial"/>
          <w:sz w:val="24"/>
          <w:szCs w:val="24"/>
          <w:lang w:val="es-MX"/>
        </w:rPr>
      </w:pPr>
    </w:p>
    <w:p w:rsidR="00A33423" w:rsidRPr="003A5530" w:rsidRDefault="007B5DEA" w:rsidP="003A5530">
      <w:pPr>
        <w:spacing w:after="0" w:line="360" w:lineRule="auto"/>
        <w:jc w:val="both"/>
        <w:rPr>
          <w:rFonts w:ascii="Arial" w:eastAsia="Calibri" w:hAnsi="Arial" w:cs="Arial"/>
          <w:b/>
          <w:i/>
          <w:sz w:val="24"/>
          <w:szCs w:val="24"/>
          <w:lang w:val="es-MX"/>
        </w:rPr>
      </w:pPr>
      <w:r w:rsidRPr="003A5530">
        <w:rPr>
          <w:rFonts w:ascii="Arial" w:eastAsia="Calibri" w:hAnsi="Arial" w:cs="Arial"/>
          <w:b/>
          <w:i/>
          <w:sz w:val="24"/>
          <w:szCs w:val="24"/>
          <w:lang w:val="es-MX"/>
        </w:rPr>
        <w:t>¿Cómo se desarrolla el tema en otros países?</w:t>
      </w:r>
    </w:p>
    <w:p w:rsidR="007B5DEA" w:rsidRDefault="007B5DEA" w:rsidP="003A5530">
      <w:pPr>
        <w:spacing w:after="0" w:line="360" w:lineRule="auto"/>
        <w:jc w:val="both"/>
        <w:rPr>
          <w:rFonts w:ascii="Arial" w:eastAsia="Calibri" w:hAnsi="Arial" w:cs="Arial"/>
          <w:b/>
          <w:i/>
          <w:sz w:val="24"/>
          <w:szCs w:val="24"/>
          <w:lang w:val="es-MX"/>
        </w:rPr>
      </w:pPr>
    </w:p>
    <w:p w:rsidR="00194B87" w:rsidRPr="003A5530" w:rsidRDefault="00194B87" w:rsidP="003A5530">
      <w:pPr>
        <w:spacing w:after="0" w:line="360" w:lineRule="auto"/>
        <w:jc w:val="both"/>
        <w:rPr>
          <w:rFonts w:ascii="Arial" w:eastAsia="Calibri" w:hAnsi="Arial" w:cs="Arial"/>
          <w:b/>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En Latinoamérica, numerosos países ya han sancionado normativa de etiquetado frontal de carácter obligatoria, por lo que dicha región es la más avanzada del mundo en materia regulatoria de etiquetado frontal. Tales son los casos de México (Guías Diarias de Alimentación - 2015), Ecuador (semáforo - 2014), Chile (Advertencia - 2016), Bolivia (semáforo - 2016), Perú (Advertencia - 2018) y Uruguay (Advertencia - 2018). A nivel global existen múltiples experiencias de etiquetado frontal, aunque mayormente de carácter voluntario, como son los casos de Estados Unidos, Australia, Canadá, Reino Unido, Unión Europea, etc.</w:t>
      </w:r>
      <w:r w:rsidRPr="003A5530">
        <w:rPr>
          <w:rFonts w:ascii="Arial" w:eastAsia="Calibri" w:hAnsi="Arial" w:cs="Arial"/>
          <w:sz w:val="24"/>
          <w:szCs w:val="24"/>
          <w:vertAlign w:val="superscript"/>
          <w:lang w:val="es-CL"/>
        </w:rPr>
        <w:footnoteReference w:id="29"/>
      </w:r>
    </w:p>
    <w:p w:rsidR="004F3BB6" w:rsidRPr="003A5530" w:rsidRDefault="004F3BB6" w:rsidP="003A5530">
      <w:pPr>
        <w:spacing w:after="0" w:line="360" w:lineRule="auto"/>
        <w:jc w:val="both"/>
        <w:rPr>
          <w:rFonts w:ascii="Arial" w:eastAsia="Calibri" w:hAnsi="Arial" w:cs="Arial"/>
          <w:sz w:val="24"/>
          <w:szCs w:val="24"/>
          <w:lang w:val="es-CL"/>
        </w:rPr>
      </w:pPr>
    </w:p>
    <w:p w:rsidR="00A33423" w:rsidRPr="003A5530" w:rsidRDefault="00A33423"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lastRenderedPageBreak/>
        <w:t>Ejemplos de etiquetado utilizado por Canadá y Brasil:</w:t>
      </w:r>
    </w:p>
    <w:p w:rsidR="007B5DEA" w:rsidRPr="003A5530" w:rsidRDefault="007B5DEA"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center"/>
        <w:rPr>
          <w:rFonts w:ascii="Arial" w:eastAsia="Calibri" w:hAnsi="Arial" w:cs="Arial"/>
          <w:sz w:val="24"/>
          <w:szCs w:val="24"/>
          <w:lang w:val="es-MX"/>
        </w:rPr>
      </w:pPr>
      <w:r w:rsidRPr="003A5530">
        <w:rPr>
          <w:rFonts w:ascii="Arial" w:eastAsia="Calibri" w:hAnsi="Arial" w:cs="Arial"/>
          <w:noProof/>
          <w:sz w:val="24"/>
          <w:szCs w:val="24"/>
          <w:lang w:eastAsia="es-CR"/>
        </w:rPr>
        <w:drawing>
          <wp:inline distT="0" distB="0" distL="0" distR="0" wp14:anchorId="3DC7E1EF" wp14:editId="38336AF6">
            <wp:extent cx="3029447" cy="2727033"/>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nadá y Brasil.jpg"/>
                    <pic:cNvPicPr/>
                  </pic:nvPicPr>
                  <pic:blipFill>
                    <a:blip r:embed="rId12">
                      <a:extLst>
                        <a:ext uri="{28A0092B-C50C-407E-A947-70E740481C1C}">
                          <a14:useLocalDpi xmlns:a14="http://schemas.microsoft.com/office/drawing/2010/main" val="0"/>
                        </a:ext>
                      </a:extLst>
                    </a:blip>
                    <a:stretch>
                      <a:fillRect/>
                    </a:stretch>
                  </pic:blipFill>
                  <pic:spPr>
                    <a:xfrm>
                      <a:off x="0" y="0"/>
                      <a:ext cx="3041615" cy="2737986"/>
                    </a:xfrm>
                    <a:prstGeom prst="rect">
                      <a:avLst/>
                    </a:prstGeom>
                  </pic:spPr>
                </pic:pic>
              </a:graphicData>
            </a:graphic>
          </wp:inline>
        </w:drawing>
      </w:r>
    </w:p>
    <w:p w:rsidR="007B5DEA" w:rsidRPr="003A5530" w:rsidRDefault="007B5DEA"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El caso de Chile con su Ley 20.606 es uno de los más reconocidos, ya que se trata de una respuesta del Estado para proteger la salud de la población, especialmente de niños, niñas y jóvenes ante las alarmantes cifras de obesidad y enfermedades crónicas no transmisibles, derivadas de una mala alimentación, no como única solución a estos problemas, sino como complemento de otras acciones individuales como las guías alimentarias poblacionales y actividades educativas, para promover alimentación saludable</w:t>
      </w:r>
      <w:r w:rsidRPr="003A5530">
        <w:rPr>
          <w:rFonts w:ascii="Arial" w:eastAsia="Calibri" w:hAnsi="Arial" w:cs="Arial"/>
          <w:sz w:val="24"/>
          <w:szCs w:val="24"/>
          <w:vertAlign w:val="superscript"/>
          <w:lang w:val="es-MX"/>
        </w:rPr>
        <w:footnoteReference w:id="30"/>
      </w:r>
      <w:r w:rsidRPr="003A5530">
        <w:rPr>
          <w:rFonts w:ascii="Arial" w:eastAsia="Calibri" w:hAnsi="Arial" w:cs="Arial"/>
          <w:sz w:val="24"/>
          <w:szCs w:val="24"/>
          <w:lang w:val="es-MX"/>
        </w:rPr>
        <w:t>.</w:t>
      </w:r>
    </w:p>
    <w:p w:rsidR="007B5DEA" w:rsidRPr="003A5530" w:rsidRDefault="007B5DEA"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 xml:space="preserve">Recogiendo las recomendaciones de la evidencia científica y de organismos internacionales relevantes como la Organización Mundial de la Salud, implementó el etiquetado frontal de advertencia que entrega acceso a información clara y visible, y la protección del entorno alimentario de niños, niñas y jóvenes, a través de la </w:t>
      </w:r>
      <w:r w:rsidRPr="003A5530">
        <w:rPr>
          <w:rFonts w:ascii="Arial" w:eastAsia="Calibri" w:hAnsi="Arial" w:cs="Arial"/>
          <w:sz w:val="24"/>
          <w:szCs w:val="24"/>
          <w:lang w:val="es-MX"/>
        </w:rPr>
        <w:lastRenderedPageBreak/>
        <w:t>regulación de la publicidad dirigida a niños y jóvenes, y la regulación de la venta de alimentos en establecimientos educacionales</w:t>
      </w:r>
      <w:r w:rsidRPr="003A5530">
        <w:rPr>
          <w:rFonts w:ascii="Arial" w:eastAsia="Calibri" w:hAnsi="Arial" w:cs="Arial"/>
          <w:sz w:val="24"/>
          <w:szCs w:val="24"/>
          <w:vertAlign w:val="superscript"/>
          <w:lang w:val="es-MX"/>
        </w:rPr>
        <w:footnoteReference w:id="31"/>
      </w:r>
      <w:r w:rsidRPr="003A5530">
        <w:rPr>
          <w:rFonts w:ascii="Arial" w:eastAsia="Calibri" w:hAnsi="Arial" w:cs="Arial"/>
          <w:sz w:val="24"/>
          <w:szCs w:val="24"/>
          <w:lang w:val="es-MX"/>
        </w:rPr>
        <w:t xml:space="preserve">. </w:t>
      </w:r>
    </w:p>
    <w:p w:rsidR="007B5DEA" w:rsidRPr="003A5530" w:rsidRDefault="007B5DEA"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El Instituto de Nutrición y Tecnología de los Alimentos </w:t>
      </w:r>
      <w:r w:rsidR="004F3BB6" w:rsidRPr="003A5530">
        <w:rPr>
          <w:rFonts w:ascii="Arial" w:eastAsia="Calibri" w:hAnsi="Arial" w:cs="Arial"/>
          <w:sz w:val="24"/>
          <w:szCs w:val="24"/>
          <w:lang w:val="es-CL"/>
        </w:rPr>
        <w:t xml:space="preserve">(INTA) </w:t>
      </w:r>
      <w:r w:rsidRPr="003A5530">
        <w:rPr>
          <w:rFonts w:ascii="Arial" w:eastAsia="Calibri" w:hAnsi="Arial" w:cs="Arial"/>
          <w:sz w:val="24"/>
          <w:szCs w:val="24"/>
          <w:lang w:val="es-CL"/>
        </w:rPr>
        <w:t>de Chile desarrolló una revisión de la evidencia científica como parte del proceso para poner en marcha su sistema de etiquetado. Alguna de las conclusiones y recomendaciones son las siguientes</w:t>
      </w:r>
      <w:r w:rsidRPr="003A5530">
        <w:rPr>
          <w:rFonts w:ascii="Arial" w:eastAsia="Calibri" w:hAnsi="Arial" w:cs="Arial"/>
          <w:sz w:val="24"/>
          <w:szCs w:val="24"/>
          <w:vertAlign w:val="superscript"/>
          <w:lang w:val="es-CL"/>
        </w:rPr>
        <w:footnoteReference w:id="32"/>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numPr>
          <w:ilvl w:val="0"/>
          <w:numId w:val="1"/>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 xml:space="preserve">Utilizar un tamaño de mensaje grande, usar letras gruesas, bordes gruesos y coloridos. </w:t>
      </w:r>
    </w:p>
    <w:p w:rsidR="007B5DEA" w:rsidRPr="003A5530" w:rsidRDefault="007B5DEA" w:rsidP="003A5530">
      <w:pPr>
        <w:numPr>
          <w:ilvl w:val="0"/>
          <w:numId w:val="1"/>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 xml:space="preserve">La ubicación del mensaje debe ser en la superficie delantera del envase del producto, de preferencia en la esquina superior derecha. </w:t>
      </w:r>
    </w:p>
    <w:p w:rsidR="007B5DEA" w:rsidRPr="003A5530" w:rsidRDefault="007B5DEA" w:rsidP="003A5530">
      <w:pPr>
        <w:numPr>
          <w:ilvl w:val="0"/>
          <w:numId w:val="1"/>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 xml:space="preserve">El uso de lenguaje sencillo facilita la comprensión del mensaje por el público general, aunque pueda no ser el más apropiado en términos científicos. </w:t>
      </w:r>
    </w:p>
    <w:p w:rsidR="007B5DEA" w:rsidRPr="003A5530" w:rsidRDefault="007B5DEA" w:rsidP="003A5530">
      <w:pPr>
        <w:numPr>
          <w:ilvl w:val="0"/>
          <w:numId w:val="1"/>
        </w:numPr>
        <w:spacing w:after="0" w:line="360" w:lineRule="auto"/>
        <w:contextualSpacing/>
        <w:jc w:val="both"/>
        <w:rPr>
          <w:rFonts w:ascii="Arial" w:eastAsia="Calibri" w:hAnsi="Arial" w:cs="Arial"/>
          <w:sz w:val="24"/>
          <w:szCs w:val="24"/>
          <w:lang w:val="es-CL"/>
        </w:rPr>
      </w:pPr>
      <w:r w:rsidRPr="003A5530">
        <w:rPr>
          <w:rFonts w:ascii="Arial" w:eastAsia="Calibri" w:hAnsi="Arial" w:cs="Arial"/>
          <w:sz w:val="24"/>
          <w:szCs w:val="24"/>
          <w:lang w:val="es-CL"/>
        </w:rPr>
        <w:t xml:space="preserve">Un marco negativo (destaca las consecuencias negativas del mal uso) sería preferible a un marco positivo. </w:t>
      </w:r>
    </w:p>
    <w:p w:rsidR="007B5DEA" w:rsidRPr="003A5530" w:rsidRDefault="007B5DEA" w:rsidP="003A5530">
      <w:pPr>
        <w:numPr>
          <w:ilvl w:val="0"/>
          <w:numId w:val="1"/>
        </w:numPr>
        <w:spacing w:after="0" w:line="360" w:lineRule="auto"/>
        <w:contextualSpacing/>
        <w:jc w:val="both"/>
        <w:rPr>
          <w:rFonts w:ascii="Arial" w:eastAsia="Calibri" w:hAnsi="Arial" w:cs="Arial"/>
          <w:sz w:val="24"/>
          <w:szCs w:val="24"/>
          <w:lang w:val="es-MX"/>
        </w:rPr>
      </w:pPr>
      <w:r w:rsidRPr="003A5530">
        <w:rPr>
          <w:rFonts w:ascii="Arial" w:eastAsia="Calibri" w:hAnsi="Arial" w:cs="Arial"/>
          <w:sz w:val="24"/>
          <w:szCs w:val="24"/>
          <w:lang w:val="es-CL"/>
        </w:rPr>
        <w:t>El uso de símbolo, logo u otra información visual debería utilizarse para apoyar el mensaje.</w:t>
      </w:r>
    </w:p>
    <w:p w:rsidR="007B5DEA" w:rsidRPr="003A5530" w:rsidRDefault="007B5DEA" w:rsidP="003A5530">
      <w:pPr>
        <w:numPr>
          <w:ilvl w:val="0"/>
          <w:numId w:val="1"/>
        </w:numPr>
        <w:spacing w:after="0" w:line="360" w:lineRule="auto"/>
        <w:contextualSpacing/>
        <w:jc w:val="both"/>
        <w:rPr>
          <w:rFonts w:ascii="Arial" w:eastAsia="Calibri" w:hAnsi="Arial" w:cs="Arial"/>
          <w:sz w:val="24"/>
          <w:szCs w:val="24"/>
          <w:lang w:val="es-MX"/>
        </w:rPr>
      </w:pPr>
      <w:r w:rsidRPr="003A5530">
        <w:rPr>
          <w:rFonts w:ascii="Arial" w:eastAsia="Calibri" w:hAnsi="Arial" w:cs="Arial"/>
          <w:sz w:val="24"/>
          <w:szCs w:val="24"/>
          <w:lang w:val="es-MX"/>
        </w:rPr>
        <w:t>Es vital apoyar la implementación del etiquetado con una campaña comunicacional.</w:t>
      </w:r>
    </w:p>
    <w:p w:rsidR="007B5DEA" w:rsidRDefault="007B5DEA" w:rsidP="003A5530">
      <w:pPr>
        <w:spacing w:after="0" w:line="360" w:lineRule="auto"/>
        <w:jc w:val="both"/>
        <w:rPr>
          <w:rFonts w:ascii="Arial" w:eastAsia="Calibri" w:hAnsi="Arial" w:cs="Arial"/>
          <w:sz w:val="24"/>
          <w:szCs w:val="24"/>
          <w:lang w:val="es-MX"/>
        </w:rPr>
      </w:pPr>
    </w:p>
    <w:p w:rsidR="00194B87" w:rsidRPr="003A5530" w:rsidRDefault="00194B87"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El resultado</w:t>
      </w:r>
      <w:r w:rsidR="004F3BB6" w:rsidRPr="003A5530">
        <w:rPr>
          <w:rFonts w:ascii="Arial" w:eastAsia="Calibri" w:hAnsi="Arial" w:cs="Arial"/>
          <w:sz w:val="24"/>
          <w:szCs w:val="24"/>
          <w:lang w:val="es-MX"/>
        </w:rPr>
        <w:t xml:space="preserve"> en este caso chileno</w:t>
      </w:r>
      <w:r w:rsidRPr="003A5530">
        <w:rPr>
          <w:rFonts w:ascii="Arial" w:eastAsia="Calibri" w:hAnsi="Arial" w:cs="Arial"/>
          <w:sz w:val="24"/>
          <w:szCs w:val="24"/>
          <w:lang w:val="es-MX"/>
        </w:rPr>
        <w:t xml:space="preserve">, es el sistema de octágonos, recomendado por la OPS </w:t>
      </w:r>
      <w:r w:rsidR="004F3BB6" w:rsidRPr="003A5530">
        <w:rPr>
          <w:rFonts w:ascii="Arial" w:eastAsia="Calibri" w:hAnsi="Arial" w:cs="Arial"/>
          <w:sz w:val="24"/>
          <w:szCs w:val="24"/>
          <w:lang w:val="es-MX"/>
        </w:rPr>
        <w:t>y similar al que se utiliza t</w:t>
      </w:r>
      <w:r w:rsidRPr="003A5530">
        <w:rPr>
          <w:rFonts w:ascii="Arial" w:eastAsia="Calibri" w:hAnsi="Arial" w:cs="Arial"/>
          <w:sz w:val="24"/>
          <w:szCs w:val="24"/>
          <w:lang w:val="es-MX"/>
        </w:rPr>
        <w:t xml:space="preserve">ambién en México: </w:t>
      </w:r>
    </w:p>
    <w:p w:rsidR="007B5DEA" w:rsidRPr="003A5530" w:rsidRDefault="007B5DEA" w:rsidP="003A5530">
      <w:pPr>
        <w:spacing w:after="0" w:line="360" w:lineRule="auto"/>
        <w:jc w:val="both"/>
        <w:rPr>
          <w:rFonts w:ascii="Arial" w:eastAsia="Calibri" w:hAnsi="Arial" w:cs="Arial"/>
          <w:sz w:val="24"/>
          <w:szCs w:val="24"/>
          <w:lang w:val="es-MX"/>
        </w:rPr>
      </w:pPr>
    </w:p>
    <w:p w:rsidR="007B5DEA" w:rsidRDefault="007B5DEA" w:rsidP="003A5530">
      <w:pPr>
        <w:spacing w:after="0" w:line="360" w:lineRule="auto"/>
        <w:jc w:val="center"/>
        <w:rPr>
          <w:rFonts w:ascii="Arial" w:eastAsia="Calibri" w:hAnsi="Arial" w:cs="Arial"/>
          <w:sz w:val="24"/>
          <w:szCs w:val="24"/>
          <w:lang w:val="es-MX"/>
        </w:rPr>
      </w:pPr>
      <w:r w:rsidRPr="003A5530">
        <w:rPr>
          <w:rFonts w:ascii="Arial" w:eastAsia="Calibri" w:hAnsi="Arial" w:cs="Arial"/>
          <w:noProof/>
          <w:sz w:val="24"/>
          <w:szCs w:val="24"/>
          <w:lang w:eastAsia="es-CR"/>
        </w:rPr>
        <w:lastRenderedPageBreak/>
        <w:drawing>
          <wp:inline distT="0" distB="0" distL="0" distR="0" wp14:anchorId="279B30BE" wp14:editId="07A9A68B">
            <wp:extent cx="4294509" cy="1865376"/>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stema de advertencia en Chile.jpg"/>
                    <pic:cNvPicPr/>
                  </pic:nvPicPr>
                  <pic:blipFill>
                    <a:blip r:embed="rId13">
                      <a:extLst>
                        <a:ext uri="{28A0092B-C50C-407E-A947-70E740481C1C}">
                          <a14:useLocalDpi xmlns:a14="http://schemas.microsoft.com/office/drawing/2010/main" val="0"/>
                        </a:ext>
                      </a:extLst>
                    </a:blip>
                    <a:stretch>
                      <a:fillRect/>
                    </a:stretch>
                  </pic:blipFill>
                  <pic:spPr>
                    <a:xfrm>
                      <a:off x="0" y="0"/>
                      <a:ext cx="4581567" cy="1990063"/>
                    </a:xfrm>
                    <a:prstGeom prst="rect">
                      <a:avLst/>
                    </a:prstGeom>
                  </pic:spPr>
                </pic:pic>
              </a:graphicData>
            </a:graphic>
          </wp:inline>
        </w:drawing>
      </w:r>
    </w:p>
    <w:p w:rsidR="00194B87" w:rsidRPr="003A5530" w:rsidRDefault="00194B87" w:rsidP="003A5530">
      <w:pPr>
        <w:spacing w:after="0" w:line="360" w:lineRule="auto"/>
        <w:jc w:val="center"/>
        <w:rPr>
          <w:rFonts w:ascii="Arial" w:eastAsia="Calibri" w:hAnsi="Arial" w:cs="Arial"/>
          <w:sz w:val="24"/>
          <w:szCs w:val="24"/>
          <w:lang w:val="es-MX"/>
        </w:rPr>
      </w:pPr>
    </w:p>
    <w:p w:rsidR="005C446F" w:rsidRDefault="00194B87" w:rsidP="003A5530">
      <w:pPr>
        <w:spacing w:after="0" w:line="360" w:lineRule="auto"/>
        <w:jc w:val="both"/>
        <w:rPr>
          <w:rFonts w:ascii="Arial" w:eastAsia="Calibri" w:hAnsi="Arial" w:cs="Arial"/>
          <w:sz w:val="24"/>
          <w:szCs w:val="24"/>
          <w:lang w:val="es-MX"/>
        </w:rPr>
      </w:pPr>
      <w:r>
        <w:rPr>
          <w:rFonts w:ascii="Arial" w:eastAsia="Calibri" w:hAnsi="Arial" w:cs="Arial"/>
          <w:sz w:val="24"/>
          <w:szCs w:val="24"/>
          <w:lang w:val="es-MX"/>
        </w:rPr>
        <w:t>Estos cambios promovieron</w:t>
      </w:r>
      <w:r w:rsidR="005C446F">
        <w:rPr>
          <w:rFonts w:ascii="Arial" w:eastAsia="Calibri" w:hAnsi="Arial" w:cs="Arial"/>
          <w:sz w:val="24"/>
          <w:szCs w:val="24"/>
          <w:lang w:val="es-MX"/>
        </w:rPr>
        <w:t xml:space="preserve"> también una nueva perspectiva para </w:t>
      </w:r>
      <w:r>
        <w:rPr>
          <w:rFonts w:ascii="Arial" w:eastAsia="Calibri" w:hAnsi="Arial" w:cs="Arial"/>
          <w:sz w:val="24"/>
          <w:szCs w:val="24"/>
          <w:lang w:val="es-MX"/>
        </w:rPr>
        <w:t xml:space="preserve">la industria alimenticia, </w:t>
      </w:r>
      <w:r w:rsidR="005C446F">
        <w:rPr>
          <w:rFonts w:ascii="Arial" w:eastAsia="Calibri" w:hAnsi="Arial" w:cs="Arial"/>
          <w:sz w:val="24"/>
          <w:szCs w:val="24"/>
          <w:lang w:val="es-MX"/>
        </w:rPr>
        <w:t xml:space="preserve">adaptándose a estilos de vida saludables en la composición de sus productos y en su oferta alimenticia a los consumidores: </w:t>
      </w:r>
      <w:r w:rsidR="005C446F" w:rsidRPr="005C446F">
        <w:rPr>
          <w:rFonts w:ascii="Arial" w:eastAsia="Calibri" w:hAnsi="Arial" w:cs="Arial"/>
          <w:sz w:val="24"/>
          <w:szCs w:val="24"/>
          <w:lang w:val="es-MX"/>
        </w:rPr>
        <w:t>"</w:t>
      </w:r>
      <w:r w:rsidR="005C446F" w:rsidRPr="005C446F">
        <w:rPr>
          <w:rFonts w:ascii="Arial" w:eastAsia="Calibri" w:hAnsi="Arial" w:cs="Arial"/>
          <w:i/>
          <w:sz w:val="24"/>
          <w:szCs w:val="24"/>
          <w:lang w:val="es-MX"/>
        </w:rPr>
        <w:t>Nos comprometemos a trabajar con los gobiernos y otras partes involucradas para garantizar que los consumidores tengan la información que necesitan a su alcance para apoyar una dieta equilibrada, y ofrecemos una amplia gama de opciones en porciones más pequeñas y bajas en azúcar o sin azúcar"</w:t>
      </w:r>
      <w:r w:rsidR="005C446F" w:rsidRPr="005C446F">
        <w:rPr>
          <w:rFonts w:ascii="Arial" w:eastAsia="Calibri" w:hAnsi="Arial" w:cs="Arial"/>
          <w:sz w:val="24"/>
          <w:szCs w:val="24"/>
          <w:lang w:val="es-MX"/>
        </w:rPr>
        <w:t>, señaló la International Council of Beverages Association en un comunicado. Una portavoz de Nestlé señaló que la compañía había eliminado más de 3,000 toneladas de azúcar de los productos lácteos y cereales para desayuno vendidos en Chile</w:t>
      </w:r>
      <w:r w:rsidR="005C446F">
        <w:rPr>
          <w:rStyle w:val="Refdenotaalpie"/>
          <w:rFonts w:ascii="Arial" w:eastAsia="Calibri" w:hAnsi="Arial" w:cs="Arial"/>
          <w:sz w:val="24"/>
          <w:szCs w:val="24"/>
          <w:lang w:val="es-MX"/>
        </w:rPr>
        <w:footnoteReference w:id="33"/>
      </w:r>
      <w:r w:rsidR="005C446F" w:rsidRPr="005C446F">
        <w:rPr>
          <w:rFonts w:ascii="Arial" w:eastAsia="Calibri" w:hAnsi="Arial" w:cs="Arial"/>
          <w:sz w:val="24"/>
          <w:szCs w:val="24"/>
          <w:lang w:val="es-MX"/>
        </w:rPr>
        <w:t>.</w:t>
      </w:r>
    </w:p>
    <w:p w:rsidR="005C446F" w:rsidRDefault="005C446F" w:rsidP="003A5530">
      <w:pPr>
        <w:spacing w:after="0" w:line="360" w:lineRule="auto"/>
        <w:jc w:val="both"/>
        <w:rPr>
          <w:rFonts w:ascii="Arial" w:eastAsia="Calibri" w:hAnsi="Arial" w:cs="Arial"/>
          <w:sz w:val="24"/>
          <w:szCs w:val="24"/>
          <w:lang w:val="es-MX"/>
        </w:rPr>
      </w:pPr>
    </w:p>
    <w:p w:rsidR="007B5DEA"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 xml:space="preserve">Por su parte, el sistema mexicano de etiquetado frontal con octágonos (como se mencionó anteriormente) sobre exceso de grasas, calorías y azúcares en bebidas y alimentos fue reconocido por UNICEF como uno "de los mejores del mundo". </w:t>
      </w:r>
      <w:r w:rsidRPr="003A5530">
        <w:rPr>
          <w:rFonts w:ascii="Arial" w:eastAsia="Calibri" w:hAnsi="Arial" w:cs="Arial"/>
          <w:i/>
          <w:sz w:val="24"/>
          <w:szCs w:val="24"/>
          <w:lang w:val="es-MX"/>
        </w:rPr>
        <w:t xml:space="preserve">"Contempla las mejores experiencias internacionales y la evidencia científica más actualizada y relevante, por lo que podría incluso convertirse en un ejemplo para otros países que atraviesan este proceso de lucha contra el sobrepeso y la </w:t>
      </w:r>
      <w:r w:rsidRPr="003A5530">
        <w:rPr>
          <w:rFonts w:ascii="Arial" w:eastAsia="Calibri" w:hAnsi="Arial" w:cs="Arial"/>
          <w:i/>
          <w:sz w:val="24"/>
          <w:szCs w:val="24"/>
          <w:lang w:val="es-MX"/>
        </w:rPr>
        <w:lastRenderedPageBreak/>
        <w:t xml:space="preserve">obesidad," </w:t>
      </w:r>
      <w:r w:rsidRPr="003A5530">
        <w:rPr>
          <w:rFonts w:ascii="Arial" w:eastAsia="Calibri" w:hAnsi="Arial" w:cs="Arial"/>
          <w:sz w:val="24"/>
          <w:szCs w:val="24"/>
          <w:lang w:val="es-MX"/>
        </w:rPr>
        <w:t>expresó en un comunicado Christian Skoog, representante de Unicef en México</w:t>
      </w:r>
      <w:r w:rsidRPr="003A5530">
        <w:rPr>
          <w:rFonts w:ascii="Arial" w:eastAsia="Calibri" w:hAnsi="Arial" w:cs="Arial"/>
          <w:sz w:val="24"/>
          <w:szCs w:val="24"/>
          <w:vertAlign w:val="superscript"/>
          <w:lang w:val="es-MX"/>
        </w:rPr>
        <w:footnoteReference w:id="34"/>
      </w:r>
      <w:r w:rsidRPr="003A5530">
        <w:rPr>
          <w:rFonts w:ascii="Arial" w:eastAsia="Calibri" w:hAnsi="Arial" w:cs="Arial"/>
          <w:sz w:val="24"/>
          <w:szCs w:val="24"/>
          <w:lang w:val="es-MX"/>
        </w:rPr>
        <w:t>.</w:t>
      </w:r>
    </w:p>
    <w:p w:rsidR="00194B87" w:rsidRPr="003A5530" w:rsidRDefault="00194B87"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Mientras tanto, hay países que también han impulsado esfuerzos en la materia como el proyecto presentado años atrás por el senador nacional argentino por la provincia de Buenos Aires, Juan Manuel Abal Medina, junto con el doctor Alberto Cormillot. El cual</w:t>
      </w:r>
      <w:r w:rsidR="000B4A32" w:rsidRPr="003A5530">
        <w:rPr>
          <w:rFonts w:ascii="Arial" w:eastAsia="Calibri" w:hAnsi="Arial" w:cs="Arial"/>
          <w:sz w:val="24"/>
          <w:szCs w:val="24"/>
          <w:lang w:val="es-MX"/>
        </w:rPr>
        <w:t>,</w:t>
      </w:r>
      <w:r w:rsidRPr="003A5530">
        <w:rPr>
          <w:rFonts w:ascii="Arial" w:eastAsia="Calibri" w:hAnsi="Arial" w:cs="Arial"/>
          <w:sz w:val="24"/>
          <w:szCs w:val="24"/>
          <w:lang w:val="es-MX"/>
        </w:rPr>
        <w:t xml:space="preserve"> tiene como objetivo brindar claridad e información nutricional, relacionada con los valores de grasas, sal y azúcares que contienen los alimentos y las bebidas no alcohólicas</w:t>
      </w:r>
      <w:r w:rsidRPr="003A5530">
        <w:rPr>
          <w:rFonts w:ascii="Arial" w:eastAsia="Calibri" w:hAnsi="Arial" w:cs="Arial"/>
          <w:sz w:val="24"/>
          <w:szCs w:val="24"/>
          <w:vertAlign w:val="superscript"/>
          <w:lang w:val="es-MX"/>
        </w:rPr>
        <w:footnoteReference w:id="35"/>
      </w:r>
      <w:r w:rsidRPr="003A5530">
        <w:rPr>
          <w:rFonts w:ascii="Arial" w:eastAsia="Calibri" w:hAnsi="Arial" w:cs="Arial"/>
          <w:sz w:val="24"/>
          <w:szCs w:val="24"/>
          <w:lang w:val="es-MX"/>
        </w:rPr>
        <w:t>.</w:t>
      </w:r>
    </w:p>
    <w:p w:rsidR="007B5DEA" w:rsidRPr="003A5530" w:rsidRDefault="007B5DEA" w:rsidP="003A5530">
      <w:pPr>
        <w:spacing w:after="0" w:line="360" w:lineRule="auto"/>
        <w:jc w:val="both"/>
        <w:rPr>
          <w:rFonts w:ascii="Arial" w:eastAsia="Calibri" w:hAnsi="Arial" w:cs="Arial"/>
          <w:b/>
          <w:sz w:val="24"/>
          <w:szCs w:val="24"/>
          <w:lang w:val="es-MX"/>
        </w:rPr>
      </w:pPr>
    </w:p>
    <w:p w:rsidR="004F3BB6" w:rsidRPr="003A5530" w:rsidRDefault="004F3BB6" w:rsidP="003A5530">
      <w:pPr>
        <w:spacing w:after="0" w:line="360" w:lineRule="auto"/>
        <w:jc w:val="both"/>
        <w:rPr>
          <w:rFonts w:ascii="Arial" w:eastAsia="Calibri" w:hAnsi="Arial" w:cs="Arial"/>
          <w:b/>
          <w:sz w:val="24"/>
          <w:szCs w:val="24"/>
          <w:lang w:val="es-MX"/>
        </w:rPr>
      </w:pPr>
    </w:p>
    <w:p w:rsidR="007B5DEA" w:rsidRPr="003A5530" w:rsidRDefault="007B5DEA" w:rsidP="003A5530">
      <w:pPr>
        <w:spacing w:after="0" w:line="360" w:lineRule="auto"/>
        <w:jc w:val="both"/>
        <w:rPr>
          <w:rFonts w:ascii="Arial" w:eastAsia="Calibri" w:hAnsi="Arial" w:cs="Arial"/>
          <w:b/>
          <w:i/>
          <w:sz w:val="24"/>
          <w:szCs w:val="24"/>
          <w:lang w:val="es-MX"/>
        </w:rPr>
      </w:pPr>
      <w:r w:rsidRPr="003A5530">
        <w:rPr>
          <w:rFonts w:ascii="Arial" w:eastAsia="Calibri" w:hAnsi="Arial" w:cs="Arial"/>
          <w:b/>
          <w:i/>
          <w:sz w:val="24"/>
          <w:szCs w:val="24"/>
          <w:lang w:val="es-MX"/>
        </w:rPr>
        <w:t>Propuesta para el caso costarricense</w:t>
      </w:r>
    </w:p>
    <w:p w:rsidR="007B5DEA" w:rsidRPr="003A5530" w:rsidRDefault="007B5DEA" w:rsidP="003A5530">
      <w:pPr>
        <w:spacing w:after="0" w:line="360" w:lineRule="auto"/>
        <w:jc w:val="both"/>
        <w:rPr>
          <w:rFonts w:ascii="Arial" w:eastAsia="Calibri" w:hAnsi="Arial" w:cs="Arial"/>
          <w:b/>
          <w:sz w:val="24"/>
          <w:szCs w:val="24"/>
          <w:lang w:val="es-MX"/>
        </w:rPr>
      </w:pPr>
    </w:p>
    <w:p w:rsidR="007B5DEA"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Como se ha podido evidenciar, el etiquetado frontal de los alimentos es una información que se presenta de manera gráfica en la cara principal o frente del envase de los productos con el objetivo de garantizar una información veraz, simple y clara al consumidor respecto del contenido nutricional de los alimentos y bebidas no alcohólicas con el fin de mejorar la toma de decisiones en relación con el consumo de alimentos. Esta información complementa la información nutricional y de ingredientes. </w:t>
      </w:r>
    </w:p>
    <w:p w:rsidR="005C446F" w:rsidRPr="003A5530" w:rsidRDefault="005C446F"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El etiquetado fro</w:t>
      </w:r>
      <w:r w:rsidR="000B4A32" w:rsidRPr="003A5530">
        <w:rPr>
          <w:rFonts w:ascii="Arial" w:eastAsia="Calibri" w:hAnsi="Arial" w:cs="Arial"/>
          <w:sz w:val="24"/>
          <w:szCs w:val="24"/>
          <w:lang w:val="es-CL"/>
        </w:rPr>
        <w:t>ntal, según sea diseñado, puede,</w:t>
      </w:r>
      <w:r w:rsidRPr="003A5530">
        <w:rPr>
          <w:rFonts w:ascii="Arial" w:eastAsia="Calibri" w:hAnsi="Arial" w:cs="Arial"/>
          <w:sz w:val="24"/>
          <w:szCs w:val="24"/>
          <w:lang w:val="es-CL"/>
        </w:rPr>
        <w:t xml:space="preserve"> en mayor o menor medida, reducir los esfuerzos cognitivos de los consumidores y el tiempo para procesar la información de las etiquetas, facilitar la elección de alimentos más saludables y tomar una mejor decisión de compra.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lastRenderedPageBreak/>
        <w:t xml:space="preserve">Proveer una herramienta sencilla para la evaluación de la composición nutricional de un alimento en cuanto a su contenido de nutrientes críticos (azúcares, grasas, calorías y sodio) es eficaz para promover una alimentación saludable y así contribuir a la prevención del sobrepeso, la obesidad y otras enfermedades no trasmisibles relacionadas con una alimentación inadecuada como la diabetes, la hipertensión arterial, las enfermedades cardiovasculares, las enfermedades cerebro-vasculares, la enfermedad renal crónica, el cáncer, entre otras. </w:t>
      </w:r>
    </w:p>
    <w:p w:rsidR="007B5DEA" w:rsidRPr="003A5530" w:rsidRDefault="007B5DEA"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Otro objetivo adicional del etiquetado frontal de alimentos</w:t>
      </w:r>
      <w:r w:rsidR="00D42FFA" w:rsidRPr="003A5530">
        <w:rPr>
          <w:rFonts w:ascii="Arial" w:eastAsia="Calibri" w:hAnsi="Arial" w:cs="Arial"/>
          <w:sz w:val="24"/>
          <w:szCs w:val="24"/>
          <w:lang w:val="es-CL"/>
        </w:rPr>
        <w:t xml:space="preserve"> y bebidas</w:t>
      </w:r>
      <w:r w:rsidR="004F3BB6" w:rsidRPr="003A5530">
        <w:rPr>
          <w:rFonts w:ascii="Arial" w:eastAsia="Calibri" w:hAnsi="Arial" w:cs="Arial"/>
          <w:sz w:val="24"/>
          <w:szCs w:val="24"/>
          <w:lang w:val="es-CL"/>
        </w:rPr>
        <w:t>,</w:t>
      </w:r>
      <w:r w:rsidRPr="003A5530">
        <w:rPr>
          <w:rFonts w:ascii="Arial" w:eastAsia="Calibri" w:hAnsi="Arial" w:cs="Arial"/>
          <w:sz w:val="24"/>
          <w:szCs w:val="24"/>
          <w:lang w:val="es-CL"/>
        </w:rPr>
        <w:t xml:space="preserve"> es facilitar el diseño e implementación de otras políticas de alimentación saludable y prevención de obesidad, tomando como referencia los puntos de corte de los nutrientes críticos en exceso, según el sistema de etiquetado frontal. Por ejemplo, resulta útil para regular los alimentos que puedan o no ofrecerse/venderse en las escuelas, para la regulación de la publicidad, promoción y patrocinio de alimentos, entre otras. Además, el etiquetado frontal ha demostrado ser efectivo para </w:t>
      </w:r>
      <w:r w:rsidR="00D42FFA" w:rsidRPr="003A5530">
        <w:rPr>
          <w:rFonts w:ascii="Arial" w:eastAsia="Calibri" w:hAnsi="Arial" w:cs="Arial"/>
          <w:sz w:val="24"/>
          <w:szCs w:val="24"/>
          <w:lang w:val="es-CL"/>
        </w:rPr>
        <w:t xml:space="preserve">incentivar mejores prácticas </w:t>
      </w:r>
      <w:r w:rsidRPr="003A5530">
        <w:rPr>
          <w:rFonts w:ascii="Arial" w:eastAsia="Calibri" w:hAnsi="Arial" w:cs="Arial"/>
          <w:sz w:val="24"/>
          <w:szCs w:val="24"/>
          <w:lang w:val="es-CL"/>
        </w:rPr>
        <w:t xml:space="preserve">a la industria </w:t>
      </w:r>
      <w:r w:rsidR="00D42FFA" w:rsidRPr="003A5530">
        <w:rPr>
          <w:rFonts w:ascii="Arial" w:eastAsia="Calibri" w:hAnsi="Arial" w:cs="Arial"/>
          <w:sz w:val="24"/>
          <w:szCs w:val="24"/>
          <w:lang w:val="es-CL"/>
        </w:rPr>
        <w:t xml:space="preserve">con el fin de </w:t>
      </w:r>
      <w:r w:rsidRPr="003A5530">
        <w:rPr>
          <w:rFonts w:ascii="Arial" w:eastAsia="Calibri" w:hAnsi="Arial" w:cs="Arial"/>
          <w:sz w:val="24"/>
          <w:szCs w:val="24"/>
          <w:lang w:val="es-CL"/>
        </w:rPr>
        <w:t xml:space="preserve">reformular sus productos </w:t>
      </w:r>
      <w:r w:rsidR="00D42FFA" w:rsidRPr="003A5530">
        <w:rPr>
          <w:rFonts w:ascii="Arial" w:eastAsia="Calibri" w:hAnsi="Arial" w:cs="Arial"/>
          <w:sz w:val="24"/>
          <w:szCs w:val="24"/>
          <w:lang w:val="es-CL"/>
        </w:rPr>
        <w:t xml:space="preserve">y así, </w:t>
      </w:r>
      <w:r w:rsidRPr="003A5530">
        <w:rPr>
          <w:rFonts w:ascii="Arial" w:eastAsia="Calibri" w:hAnsi="Arial" w:cs="Arial"/>
          <w:sz w:val="24"/>
          <w:szCs w:val="24"/>
          <w:lang w:val="es-CL"/>
        </w:rPr>
        <w:t>hacerlos más saludables.</w:t>
      </w:r>
    </w:p>
    <w:p w:rsidR="007B5DEA" w:rsidRPr="003A5530" w:rsidRDefault="007B5DEA" w:rsidP="003A5530">
      <w:pPr>
        <w:spacing w:after="0" w:line="360" w:lineRule="auto"/>
        <w:jc w:val="both"/>
        <w:rPr>
          <w:rFonts w:ascii="Arial" w:eastAsia="Calibri" w:hAnsi="Arial" w:cs="Arial"/>
          <w:sz w:val="24"/>
          <w:szCs w:val="24"/>
          <w:lang w:val="es-CL"/>
        </w:rPr>
      </w:pPr>
    </w:p>
    <w:p w:rsidR="007B5DEA"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Por ello, se presenta a la corriente legislativa </w:t>
      </w:r>
      <w:r w:rsidR="000B4A32" w:rsidRPr="003A5530">
        <w:rPr>
          <w:rFonts w:ascii="Arial" w:eastAsia="Calibri" w:hAnsi="Arial" w:cs="Arial"/>
          <w:sz w:val="24"/>
          <w:szCs w:val="24"/>
          <w:lang w:val="es-CL"/>
        </w:rPr>
        <w:t xml:space="preserve">esta propuesta de ley, </w:t>
      </w:r>
      <w:r w:rsidRPr="003A5530">
        <w:rPr>
          <w:rFonts w:ascii="Arial" w:eastAsia="Calibri" w:hAnsi="Arial" w:cs="Arial"/>
          <w:sz w:val="24"/>
          <w:szCs w:val="24"/>
          <w:lang w:val="es-CL"/>
        </w:rPr>
        <w:t>que toma como base las recomendaciones anteriormente expuestas, especialmente los casos de éxito de Chile</w:t>
      </w:r>
      <w:r w:rsidRPr="003A5530">
        <w:rPr>
          <w:rFonts w:ascii="Arial" w:eastAsia="Calibri" w:hAnsi="Arial" w:cs="Arial"/>
          <w:sz w:val="24"/>
          <w:szCs w:val="24"/>
          <w:vertAlign w:val="superscript"/>
          <w:lang w:val="es-CL"/>
        </w:rPr>
        <w:footnoteReference w:id="36"/>
      </w:r>
      <w:r w:rsidRPr="003A5530">
        <w:rPr>
          <w:rFonts w:ascii="Arial" w:eastAsia="Calibri" w:hAnsi="Arial" w:cs="Arial"/>
          <w:sz w:val="24"/>
          <w:szCs w:val="24"/>
          <w:lang w:val="es-CL"/>
        </w:rPr>
        <w:t xml:space="preserve"> y México</w:t>
      </w:r>
      <w:r w:rsidRPr="003A5530">
        <w:rPr>
          <w:rFonts w:ascii="Arial" w:eastAsia="Calibri" w:hAnsi="Arial" w:cs="Arial"/>
          <w:sz w:val="24"/>
          <w:szCs w:val="24"/>
          <w:vertAlign w:val="superscript"/>
          <w:lang w:val="es-CL"/>
        </w:rPr>
        <w:footnoteReference w:id="37"/>
      </w:r>
      <w:r w:rsidRPr="003A5530">
        <w:rPr>
          <w:rFonts w:ascii="Arial" w:eastAsia="Calibri" w:hAnsi="Arial" w:cs="Arial"/>
          <w:sz w:val="24"/>
          <w:szCs w:val="24"/>
          <w:lang w:val="es-CL"/>
        </w:rPr>
        <w:t xml:space="preserve"> en cuanto a su legislación en la materia.</w:t>
      </w:r>
    </w:p>
    <w:p w:rsidR="00194B87" w:rsidRPr="003A5530" w:rsidRDefault="00194B87" w:rsidP="003A5530">
      <w:pPr>
        <w:spacing w:after="0" w:line="360" w:lineRule="auto"/>
        <w:jc w:val="both"/>
        <w:rPr>
          <w:rFonts w:ascii="Arial" w:eastAsia="Calibri" w:hAnsi="Arial" w:cs="Arial"/>
          <w:sz w:val="24"/>
          <w:szCs w:val="24"/>
          <w:lang w:val="es-CL"/>
        </w:rPr>
      </w:pPr>
    </w:p>
    <w:p w:rsidR="007B5DEA" w:rsidRPr="003A5530" w:rsidRDefault="007B5DEA"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La propuesta</w:t>
      </w:r>
      <w:r w:rsidR="000B4A32" w:rsidRPr="003A5530">
        <w:rPr>
          <w:rFonts w:ascii="Arial" w:eastAsia="Calibri" w:hAnsi="Arial" w:cs="Arial"/>
          <w:sz w:val="24"/>
          <w:szCs w:val="24"/>
          <w:lang w:val="es-CL"/>
        </w:rPr>
        <w:t>,</w:t>
      </w:r>
      <w:r w:rsidRPr="003A5530">
        <w:rPr>
          <w:rFonts w:ascii="Arial" w:eastAsia="Calibri" w:hAnsi="Arial" w:cs="Arial"/>
          <w:sz w:val="24"/>
          <w:szCs w:val="24"/>
          <w:lang w:val="es-CL"/>
        </w:rPr>
        <w:t xml:space="preserve"> se realiza de manera</w:t>
      </w:r>
      <w:r w:rsidR="00FE105D" w:rsidRPr="003A5530">
        <w:rPr>
          <w:rFonts w:ascii="Arial" w:eastAsia="Calibri" w:hAnsi="Arial" w:cs="Arial"/>
          <w:sz w:val="24"/>
          <w:szCs w:val="24"/>
          <w:lang w:val="es-CL"/>
        </w:rPr>
        <w:t xml:space="preserve"> sencilla y efectiva</w:t>
      </w:r>
      <w:r w:rsidRPr="003A5530">
        <w:rPr>
          <w:rFonts w:ascii="Arial" w:eastAsia="Calibri" w:hAnsi="Arial" w:cs="Arial"/>
          <w:sz w:val="24"/>
          <w:szCs w:val="24"/>
          <w:lang w:val="es-CL"/>
        </w:rPr>
        <w:t>, regulando aspectos de etiquetado, comercialización, promoción y publicidad de alimentos</w:t>
      </w:r>
      <w:r w:rsidR="009F5219" w:rsidRPr="003A5530">
        <w:rPr>
          <w:rFonts w:ascii="Arial" w:eastAsia="Calibri" w:hAnsi="Arial" w:cs="Arial"/>
          <w:sz w:val="24"/>
          <w:szCs w:val="24"/>
          <w:lang w:val="es-CL"/>
        </w:rPr>
        <w:t xml:space="preserve"> y bebidas no alcohólicas</w:t>
      </w:r>
      <w:r w:rsidR="00194B87">
        <w:rPr>
          <w:rFonts w:ascii="Arial" w:eastAsia="Calibri" w:hAnsi="Arial" w:cs="Arial"/>
          <w:sz w:val="24"/>
          <w:szCs w:val="24"/>
          <w:lang w:val="es-CL"/>
        </w:rPr>
        <w:t xml:space="preserve"> (dado que estas últimas cuentan con regulaciones especiales para su consumo y comercialización)</w:t>
      </w:r>
      <w:r w:rsidR="00D42FFA" w:rsidRPr="003A5530">
        <w:rPr>
          <w:rFonts w:ascii="Arial" w:eastAsia="Calibri" w:hAnsi="Arial" w:cs="Arial"/>
          <w:sz w:val="24"/>
          <w:szCs w:val="24"/>
          <w:lang w:val="es-CL"/>
        </w:rPr>
        <w:t>;</w:t>
      </w:r>
      <w:r w:rsidRPr="003A5530">
        <w:rPr>
          <w:rFonts w:ascii="Arial" w:eastAsia="Calibri" w:hAnsi="Arial" w:cs="Arial"/>
          <w:sz w:val="24"/>
          <w:szCs w:val="24"/>
          <w:lang w:val="es-CL"/>
        </w:rPr>
        <w:t xml:space="preserve"> al tiempo que se establecen sanciones por el </w:t>
      </w:r>
      <w:r w:rsidRPr="003A5530">
        <w:rPr>
          <w:rFonts w:ascii="Arial" w:eastAsia="Calibri" w:hAnsi="Arial" w:cs="Arial"/>
          <w:sz w:val="24"/>
          <w:szCs w:val="24"/>
          <w:lang w:val="es-CL"/>
        </w:rPr>
        <w:lastRenderedPageBreak/>
        <w:t>incumplimiento en la regulación y se establec</w:t>
      </w:r>
      <w:r w:rsidR="00D172FD" w:rsidRPr="003A5530">
        <w:rPr>
          <w:rFonts w:ascii="Arial" w:eastAsia="Calibri" w:hAnsi="Arial" w:cs="Arial"/>
          <w:sz w:val="24"/>
          <w:szCs w:val="24"/>
          <w:lang w:val="es-CL"/>
        </w:rPr>
        <w:t>e un periodo de aplicación en el</w:t>
      </w:r>
      <w:r w:rsidRPr="003A5530">
        <w:rPr>
          <w:rFonts w:ascii="Arial" w:eastAsia="Calibri" w:hAnsi="Arial" w:cs="Arial"/>
          <w:sz w:val="24"/>
          <w:szCs w:val="24"/>
          <w:lang w:val="es-CL"/>
        </w:rPr>
        <w:t xml:space="preserve"> “rige” que toma en consideración los aspectos técnicos de reglamentación e implementación de la norma.</w:t>
      </w:r>
    </w:p>
    <w:p w:rsidR="000B4A32" w:rsidRPr="003A5530" w:rsidRDefault="000B4A32" w:rsidP="003A5530">
      <w:pPr>
        <w:spacing w:after="0" w:line="360" w:lineRule="auto"/>
        <w:jc w:val="both"/>
        <w:rPr>
          <w:rFonts w:ascii="Arial" w:eastAsia="Calibri" w:hAnsi="Arial" w:cs="Arial"/>
          <w:sz w:val="24"/>
          <w:szCs w:val="24"/>
          <w:lang w:val="es-CL"/>
        </w:rPr>
      </w:pPr>
    </w:p>
    <w:p w:rsidR="000B4A32" w:rsidRPr="003A5530" w:rsidRDefault="000B4A32"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Incluso, </w:t>
      </w:r>
      <w:r w:rsidR="00D172FD" w:rsidRPr="003A5530">
        <w:rPr>
          <w:rFonts w:ascii="Arial" w:eastAsia="Calibri" w:hAnsi="Arial" w:cs="Arial"/>
          <w:sz w:val="24"/>
          <w:szCs w:val="24"/>
          <w:lang w:val="es-CL"/>
        </w:rPr>
        <w:t xml:space="preserve">contemplando </w:t>
      </w:r>
      <w:r w:rsidRPr="003A5530">
        <w:rPr>
          <w:rFonts w:ascii="Arial" w:eastAsia="Calibri" w:hAnsi="Arial" w:cs="Arial"/>
          <w:sz w:val="24"/>
          <w:szCs w:val="24"/>
          <w:lang w:val="es-CL"/>
        </w:rPr>
        <w:t xml:space="preserve">la coyuntura en la que nos encontramos por la emergencia mundial ocasionada por el coronavirus Covid-19, </w:t>
      </w:r>
      <w:r w:rsidR="00F6742A" w:rsidRPr="003A5530">
        <w:rPr>
          <w:rFonts w:ascii="Arial" w:eastAsia="Calibri" w:hAnsi="Arial" w:cs="Arial"/>
          <w:sz w:val="24"/>
          <w:szCs w:val="24"/>
          <w:lang w:val="es-CL"/>
        </w:rPr>
        <w:t xml:space="preserve">recordamos que las enfermedades no transmisibles como la hipertensión, la diabetes, la obesidad, entre otras, han sido señaladas como factores de riesgo ante este virus y </w:t>
      </w:r>
      <w:r w:rsidRPr="003A5530">
        <w:rPr>
          <w:rFonts w:ascii="Arial" w:eastAsia="Calibri" w:hAnsi="Arial" w:cs="Arial"/>
          <w:sz w:val="24"/>
          <w:szCs w:val="24"/>
          <w:lang w:val="es-CL"/>
        </w:rPr>
        <w:t>rescatamos</w:t>
      </w:r>
      <w:r w:rsidR="00F6742A" w:rsidRPr="003A5530">
        <w:rPr>
          <w:rFonts w:ascii="Arial" w:eastAsia="Calibri" w:hAnsi="Arial" w:cs="Arial"/>
          <w:sz w:val="24"/>
          <w:szCs w:val="24"/>
          <w:lang w:val="es-CL"/>
        </w:rPr>
        <w:t>,</w:t>
      </w:r>
      <w:r w:rsidRPr="003A5530">
        <w:rPr>
          <w:rFonts w:ascii="Arial" w:eastAsia="Calibri" w:hAnsi="Arial" w:cs="Arial"/>
          <w:sz w:val="24"/>
          <w:szCs w:val="24"/>
          <w:lang w:val="es-CL"/>
        </w:rPr>
        <w:t xml:space="preserve"> lo señalado por el Colegio de Profesionales en Nutrición de Costa Rica, que estima que la “nueva normalidad” provocada por la pandemia implicará cambios en los hábitos de alimentación y estilos de vida de las personas</w:t>
      </w:r>
      <w:r w:rsidRPr="003A5530">
        <w:rPr>
          <w:rStyle w:val="Refdenotaalpie"/>
          <w:rFonts w:ascii="Arial" w:eastAsia="Calibri" w:hAnsi="Arial" w:cs="Arial"/>
          <w:sz w:val="24"/>
          <w:szCs w:val="24"/>
          <w:lang w:val="es-CL"/>
        </w:rPr>
        <w:footnoteReference w:id="38"/>
      </w:r>
      <w:r w:rsidRPr="003A5530">
        <w:rPr>
          <w:rFonts w:ascii="Arial" w:eastAsia="Calibri" w:hAnsi="Arial" w:cs="Arial"/>
          <w:sz w:val="24"/>
          <w:szCs w:val="24"/>
          <w:lang w:val="es-CL"/>
        </w:rPr>
        <w:t xml:space="preserve">. </w:t>
      </w:r>
    </w:p>
    <w:p w:rsidR="000B4A32" w:rsidRPr="003A5530" w:rsidRDefault="000B4A32" w:rsidP="003A5530">
      <w:pPr>
        <w:spacing w:after="0" w:line="360" w:lineRule="auto"/>
        <w:jc w:val="both"/>
        <w:rPr>
          <w:rFonts w:ascii="Arial" w:eastAsia="Calibri" w:hAnsi="Arial" w:cs="Arial"/>
          <w:sz w:val="24"/>
          <w:szCs w:val="24"/>
          <w:lang w:val="es-CL"/>
        </w:rPr>
      </w:pPr>
    </w:p>
    <w:p w:rsidR="000B4A32" w:rsidRPr="003A5530" w:rsidRDefault="000B4A32"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Un sondeo realizado por un grupo de expertos determinó que la cuarentena redujo el ritmo de actividad física en el 40% de los encuestados. Asimismo, un 63% se ha interesado por adquirir productos saludables, razón por la cual los nutricionistas piden tener cautela. </w:t>
      </w:r>
      <w:r w:rsidRPr="003A5530">
        <w:rPr>
          <w:rFonts w:ascii="Arial" w:eastAsia="Calibri" w:hAnsi="Arial" w:cs="Arial"/>
          <w:i/>
          <w:sz w:val="24"/>
          <w:szCs w:val="24"/>
          <w:lang w:val="es-CL"/>
        </w:rPr>
        <w:t>“Recordemos que light no es sinónimo de saludable, pues muchos de los productos que se encuentran en el mercado cuentan con una reducción de sal, azúcar y grasa que no es realmente significativa”,</w:t>
      </w:r>
      <w:r w:rsidRPr="003A5530">
        <w:rPr>
          <w:rFonts w:ascii="Arial" w:eastAsia="Calibri" w:hAnsi="Arial" w:cs="Arial"/>
          <w:sz w:val="24"/>
          <w:szCs w:val="24"/>
          <w:lang w:val="es-CL"/>
        </w:rPr>
        <w:t xml:space="preserve"> indicó Stiff Masís, vicepresidente del Colegio</w:t>
      </w:r>
      <w:r w:rsidRPr="003A5530">
        <w:rPr>
          <w:rStyle w:val="Refdenotaalpie"/>
          <w:rFonts w:ascii="Arial" w:eastAsia="Calibri" w:hAnsi="Arial" w:cs="Arial"/>
          <w:sz w:val="24"/>
          <w:szCs w:val="24"/>
          <w:lang w:val="es-CL"/>
        </w:rPr>
        <w:footnoteReference w:id="39"/>
      </w:r>
      <w:r w:rsidRPr="003A5530">
        <w:rPr>
          <w:rFonts w:ascii="Arial" w:eastAsia="Calibri" w:hAnsi="Arial" w:cs="Arial"/>
          <w:sz w:val="24"/>
          <w:szCs w:val="24"/>
          <w:lang w:val="es-CL"/>
        </w:rPr>
        <w:t xml:space="preserve">. </w:t>
      </w:r>
    </w:p>
    <w:p w:rsidR="000B4A32" w:rsidRPr="003A5530" w:rsidRDefault="000B4A32" w:rsidP="003A5530">
      <w:pPr>
        <w:spacing w:after="0" w:line="360" w:lineRule="auto"/>
        <w:jc w:val="both"/>
        <w:rPr>
          <w:rFonts w:ascii="Arial" w:eastAsia="Calibri" w:hAnsi="Arial" w:cs="Arial"/>
          <w:sz w:val="24"/>
          <w:szCs w:val="24"/>
          <w:lang w:val="es-CL"/>
        </w:rPr>
      </w:pPr>
    </w:p>
    <w:p w:rsidR="000B4A32" w:rsidRPr="003A5530" w:rsidRDefault="000B4A32"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A nivel general, el Colegio recomienda alimentarse bajo la guía de un profesional en nutrición y no dejarse llevar por dietas de moda, planes o retos disponibles en internet o productos que afirman potenciar la pérdida de peso e insisten</w:t>
      </w:r>
      <w:r w:rsidR="00D42FFA" w:rsidRPr="003A5530">
        <w:rPr>
          <w:rFonts w:ascii="Arial" w:eastAsia="Calibri" w:hAnsi="Arial" w:cs="Arial"/>
          <w:sz w:val="24"/>
          <w:szCs w:val="24"/>
          <w:lang w:val="es-CL"/>
        </w:rPr>
        <w:t>,</w:t>
      </w:r>
      <w:r w:rsidRPr="003A5530">
        <w:rPr>
          <w:rFonts w:ascii="Arial" w:eastAsia="Calibri" w:hAnsi="Arial" w:cs="Arial"/>
          <w:sz w:val="24"/>
          <w:szCs w:val="24"/>
          <w:lang w:val="es-CL"/>
        </w:rPr>
        <w:t xml:space="preserve"> en la importancia del consumo de frutas y vegetales, frijoles y cereales integrales y la reducción de azúcar, sal y grasas</w:t>
      </w:r>
      <w:r w:rsidRPr="003A5530">
        <w:rPr>
          <w:rStyle w:val="Refdenotaalpie"/>
          <w:rFonts w:ascii="Arial" w:eastAsia="Calibri" w:hAnsi="Arial" w:cs="Arial"/>
          <w:sz w:val="24"/>
          <w:szCs w:val="24"/>
          <w:lang w:val="es-CL"/>
        </w:rPr>
        <w:footnoteReference w:id="40"/>
      </w:r>
      <w:r w:rsidRPr="003A5530">
        <w:rPr>
          <w:rFonts w:ascii="Arial" w:eastAsia="Calibri" w:hAnsi="Arial" w:cs="Arial"/>
          <w:sz w:val="24"/>
          <w:szCs w:val="24"/>
          <w:lang w:val="es-CL"/>
        </w:rPr>
        <w:t>.</w:t>
      </w:r>
    </w:p>
    <w:p w:rsidR="00D172FD" w:rsidRPr="003A5530" w:rsidRDefault="00D172FD" w:rsidP="003A5530">
      <w:pPr>
        <w:spacing w:after="0" w:line="360" w:lineRule="auto"/>
        <w:jc w:val="both"/>
        <w:rPr>
          <w:rFonts w:ascii="Arial" w:eastAsia="Calibri" w:hAnsi="Arial" w:cs="Arial"/>
          <w:sz w:val="24"/>
          <w:szCs w:val="24"/>
          <w:lang w:val="es-CL"/>
        </w:rPr>
      </w:pPr>
    </w:p>
    <w:p w:rsidR="00D172FD" w:rsidRPr="003A5530" w:rsidRDefault="00D172FD"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lastRenderedPageBreak/>
        <w:t xml:space="preserve">Recomendaciones, que ya de por sí los especialistas en salud realizan </w:t>
      </w:r>
      <w:r w:rsidR="00FE105D" w:rsidRPr="003A5530">
        <w:rPr>
          <w:rFonts w:ascii="Arial" w:eastAsia="Calibri" w:hAnsi="Arial" w:cs="Arial"/>
          <w:sz w:val="24"/>
          <w:szCs w:val="24"/>
          <w:lang w:val="es-CL"/>
        </w:rPr>
        <w:t xml:space="preserve">desde </w:t>
      </w:r>
      <w:r w:rsidRPr="003A5530">
        <w:rPr>
          <w:rFonts w:ascii="Arial" w:eastAsia="Calibri" w:hAnsi="Arial" w:cs="Arial"/>
          <w:sz w:val="24"/>
          <w:szCs w:val="24"/>
          <w:lang w:val="es-CL"/>
        </w:rPr>
        <w:t xml:space="preserve">hace varias décadas y que se han visto reflejadas en iniciativas </w:t>
      </w:r>
      <w:r w:rsidR="00FE105D" w:rsidRPr="003A5530">
        <w:rPr>
          <w:rFonts w:ascii="Arial" w:eastAsia="Calibri" w:hAnsi="Arial" w:cs="Arial"/>
          <w:sz w:val="24"/>
          <w:szCs w:val="24"/>
          <w:lang w:val="es-CL"/>
        </w:rPr>
        <w:t xml:space="preserve">concretas </w:t>
      </w:r>
      <w:r w:rsidRPr="003A5530">
        <w:rPr>
          <w:rFonts w:ascii="Arial" w:eastAsia="Calibri" w:hAnsi="Arial" w:cs="Arial"/>
          <w:sz w:val="24"/>
          <w:szCs w:val="24"/>
          <w:lang w:val="es-CL"/>
        </w:rPr>
        <w:t xml:space="preserve">desde las políticas nacionales de salud, así como en esfuerzos y alianzas público-privadas para mejorar los hábitos alimenticios de la población como, por ejemplo el plan de reducción de la ingesta nacional de sodio en el que trabajan en conjunto la Cámara Costarricense de la Industria Alimentaria (CACIA), el Instituto Costarricense de Investigación y Enseñanza en Nutrición y Salud (INCIENSA) y </w:t>
      </w:r>
      <w:r w:rsidR="00CD3A1E">
        <w:rPr>
          <w:rFonts w:ascii="Arial" w:eastAsia="Calibri" w:hAnsi="Arial" w:cs="Arial"/>
          <w:sz w:val="24"/>
          <w:szCs w:val="24"/>
          <w:lang w:val="es-CL"/>
        </w:rPr>
        <w:t xml:space="preserve">el </w:t>
      </w:r>
      <w:r w:rsidRPr="003A5530">
        <w:rPr>
          <w:rFonts w:ascii="Arial" w:eastAsia="Calibri" w:hAnsi="Arial" w:cs="Arial"/>
          <w:sz w:val="24"/>
          <w:szCs w:val="24"/>
          <w:lang w:val="es-CL"/>
        </w:rPr>
        <w:t>Ministerio de Salud</w:t>
      </w:r>
      <w:r w:rsidRPr="003A5530">
        <w:rPr>
          <w:rStyle w:val="Refdenotaalpie"/>
          <w:rFonts w:ascii="Arial" w:eastAsia="Calibri" w:hAnsi="Arial" w:cs="Arial"/>
          <w:sz w:val="24"/>
          <w:szCs w:val="24"/>
          <w:lang w:val="es-CL"/>
        </w:rPr>
        <w:footnoteReference w:id="41"/>
      </w:r>
      <w:r w:rsidRPr="003A5530">
        <w:rPr>
          <w:rFonts w:ascii="Arial" w:eastAsia="Calibri" w:hAnsi="Arial" w:cs="Arial"/>
          <w:sz w:val="24"/>
          <w:szCs w:val="24"/>
          <w:lang w:val="es-CL"/>
        </w:rPr>
        <w:t>.</w:t>
      </w:r>
    </w:p>
    <w:p w:rsidR="00EB1F22" w:rsidRPr="003A5530" w:rsidRDefault="00EB1F22" w:rsidP="003A5530">
      <w:pPr>
        <w:spacing w:after="0" w:line="360" w:lineRule="auto"/>
        <w:jc w:val="both"/>
        <w:rPr>
          <w:rFonts w:ascii="Arial" w:eastAsia="Calibri" w:hAnsi="Arial" w:cs="Arial"/>
          <w:sz w:val="24"/>
          <w:szCs w:val="24"/>
          <w:lang w:val="es-CL"/>
        </w:rPr>
      </w:pPr>
    </w:p>
    <w:p w:rsidR="00EB1F22" w:rsidRPr="003A5530" w:rsidRDefault="00EB1F22"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 xml:space="preserve">Toda vez, que este tipo de regulaciones van de la mano con lo planteado en la </w:t>
      </w:r>
      <w:r w:rsidRPr="003A5530">
        <w:rPr>
          <w:rFonts w:ascii="Arial" w:eastAsia="Calibri" w:hAnsi="Arial" w:cs="Arial"/>
          <w:i/>
          <w:sz w:val="24"/>
          <w:szCs w:val="24"/>
          <w:lang w:val="es-CL"/>
        </w:rPr>
        <w:t xml:space="preserve">Estrategia nacional de abordaje integral de las enfermedades crónicas no transmisibles y obesidad y su plan de acción 2013-2021, </w:t>
      </w:r>
      <w:r w:rsidRPr="003A5530">
        <w:rPr>
          <w:rFonts w:ascii="Arial" w:eastAsia="Calibri" w:hAnsi="Arial" w:cs="Arial"/>
          <w:sz w:val="24"/>
          <w:szCs w:val="24"/>
          <w:lang w:val="es-CL"/>
        </w:rPr>
        <w:t>cuya meta general se enfoca en la reducción de la mortalidad prematura por las siguientes enfermedades:</w:t>
      </w:r>
    </w:p>
    <w:p w:rsidR="00EB1F22" w:rsidRPr="003A5530" w:rsidRDefault="00EB1F22" w:rsidP="003A5530">
      <w:pPr>
        <w:spacing w:after="0" w:line="360" w:lineRule="auto"/>
        <w:jc w:val="both"/>
        <w:rPr>
          <w:rFonts w:ascii="Arial" w:eastAsia="Calibri" w:hAnsi="Arial" w:cs="Arial"/>
          <w:sz w:val="24"/>
          <w:szCs w:val="24"/>
          <w:lang w:val="es-CL"/>
        </w:rPr>
      </w:pPr>
      <w:r w:rsidRPr="003A5530">
        <w:rPr>
          <w:rFonts w:ascii="Arial" w:eastAsia="Calibri" w:hAnsi="Arial" w:cs="Arial"/>
          <w:sz w:val="24"/>
          <w:szCs w:val="24"/>
          <w:lang w:val="es-CL"/>
        </w:rPr>
        <w:t>cáncer, cardiovascular, cerebrovascular, respiratoria crónica, renal crónica de etiología desconocida, y diabetes mellitus; definiendo metas para promover los factores protectores que conduzcan a la reducción de los factores de riesgo, tales como: obesidad, hipertensión arterial e hiperglicemia, entre otros</w:t>
      </w:r>
      <w:r w:rsidRPr="003A5530">
        <w:rPr>
          <w:rStyle w:val="Refdenotaalpie"/>
          <w:rFonts w:ascii="Arial" w:eastAsia="Calibri" w:hAnsi="Arial" w:cs="Arial"/>
          <w:sz w:val="24"/>
          <w:szCs w:val="24"/>
          <w:lang w:val="es-CL"/>
        </w:rPr>
        <w:footnoteReference w:id="42"/>
      </w:r>
      <w:r w:rsidRPr="003A5530">
        <w:rPr>
          <w:rFonts w:ascii="Arial" w:eastAsia="Calibri" w:hAnsi="Arial" w:cs="Arial"/>
          <w:sz w:val="24"/>
          <w:szCs w:val="24"/>
          <w:lang w:val="es-CL"/>
        </w:rPr>
        <w:t xml:space="preserve">. </w:t>
      </w:r>
    </w:p>
    <w:p w:rsidR="007B5DEA" w:rsidRPr="003A5530" w:rsidRDefault="007B5DEA" w:rsidP="003A5530">
      <w:pPr>
        <w:spacing w:after="0" w:line="360" w:lineRule="auto"/>
        <w:jc w:val="both"/>
        <w:rPr>
          <w:rFonts w:ascii="Arial" w:eastAsia="Calibri" w:hAnsi="Arial" w:cs="Arial"/>
          <w:sz w:val="24"/>
          <w:szCs w:val="24"/>
          <w:lang w:val="es-CL"/>
        </w:rPr>
      </w:pPr>
    </w:p>
    <w:p w:rsidR="00F4307F" w:rsidRPr="003A5530" w:rsidRDefault="00F4307F"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CL"/>
        </w:rPr>
        <w:t xml:space="preserve">Valga destacar, </w:t>
      </w:r>
      <w:r w:rsidR="007B5DEA" w:rsidRPr="003A5530">
        <w:rPr>
          <w:rFonts w:ascii="Arial" w:eastAsia="Calibri" w:hAnsi="Arial" w:cs="Arial"/>
          <w:sz w:val="24"/>
          <w:szCs w:val="24"/>
          <w:lang w:val="es-CL"/>
        </w:rPr>
        <w:t xml:space="preserve">que </w:t>
      </w:r>
      <w:r w:rsidR="007B5DEA" w:rsidRPr="003A5530">
        <w:rPr>
          <w:rFonts w:ascii="Arial" w:eastAsia="Calibri" w:hAnsi="Arial" w:cs="Arial"/>
          <w:sz w:val="24"/>
          <w:szCs w:val="24"/>
          <w:lang w:val="es-MX"/>
        </w:rPr>
        <w:t>en la corriente legislativa no existen proyectos que aborden el tema desde esta perspectiva</w:t>
      </w:r>
      <w:r w:rsidR="007B5DEA" w:rsidRPr="003A5530">
        <w:rPr>
          <w:rFonts w:ascii="Arial" w:eastAsia="Calibri" w:hAnsi="Arial" w:cs="Arial"/>
          <w:sz w:val="24"/>
          <w:szCs w:val="24"/>
          <w:vertAlign w:val="superscript"/>
          <w:lang w:val="es-MX"/>
        </w:rPr>
        <w:footnoteReference w:id="43"/>
      </w:r>
      <w:r w:rsidR="007B5DEA" w:rsidRPr="003A5530">
        <w:rPr>
          <w:rFonts w:ascii="Arial" w:eastAsia="Calibri" w:hAnsi="Arial" w:cs="Arial"/>
          <w:sz w:val="24"/>
          <w:szCs w:val="24"/>
          <w:lang w:val="es-MX"/>
        </w:rPr>
        <w:t xml:space="preserve">, ya que como antecedentes más próximos se encuentran los Expedientes legislativos 18.354, 20.314 y 20.365; el primero relativo a etiquetado de productos transgénicos, el segundo, relativo a alimentos genéticamente modificados y, el tercero, destinado al desincentivo mediante impuesto del consumo de productos ultraprocesados. </w:t>
      </w:r>
    </w:p>
    <w:p w:rsidR="00F4307F" w:rsidRPr="003A5530" w:rsidRDefault="00F4307F" w:rsidP="003A5530">
      <w:pPr>
        <w:spacing w:after="0" w:line="360" w:lineRule="auto"/>
        <w:jc w:val="both"/>
        <w:rPr>
          <w:rFonts w:ascii="Arial" w:eastAsia="Calibri" w:hAnsi="Arial" w:cs="Arial"/>
          <w:sz w:val="24"/>
          <w:szCs w:val="24"/>
          <w:lang w:val="es-MX"/>
        </w:rPr>
      </w:pPr>
    </w:p>
    <w:p w:rsidR="007B5DEA"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lastRenderedPageBreak/>
        <w:t>Mientras que el Expediente 19.458, también en la corriente legislativa, apunta más bien a que las cadenas de restaurantes con al menos cinco locales a nivel nacional publiquen la información calórica de sus productos en sus respectivos menús y que provean la información sobre la cantidad de grasa, azúcar y sodio a los consumidores que así lo soliciten.</w:t>
      </w:r>
    </w:p>
    <w:p w:rsidR="007B5DEA" w:rsidRPr="003A5530" w:rsidRDefault="007B5DEA" w:rsidP="003A5530">
      <w:pPr>
        <w:spacing w:after="0" w:line="360" w:lineRule="auto"/>
        <w:jc w:val="both"/>
        <w:rPr>
          <w:rFonts w:ascii="Arial" w:eastAsia="Calibri" w:hAnsi="Arial" w:cs="Arial"/>
          <w:sz w:val="24"/>
          <w:szCs w:val="24"/>
          <w:lang w:val="es-MX"/>
        </w:rPr>
      </w:pPr>
    </w:p>
    <w:p w:rsidR="004E2E79" w:rsidRPr="003A5530" w:rsidRDefault="007B5DEA" w:rsidP="003A5530">
      <w:pPr>
        <w:spacing w:after="0" w:line="360" w:lineRule="auto"/>
        <w:jc w:val="both"/>
        <w:rPr>
          <w:rFonts w:ascii="Arial" w:eastAsia="Calibri" w:hAnsi="Arial" w:cs="Arial"/>
          <w:sz w:val="24"/>
          <w:szCs w:val="24"/>
          <w:lang w:val="es-MX"/>
        </w:rPr>
      </w:pPr>
      <w:r w:rsidRPr="003A5530">
        <w:rPr>
          <w:rFonts w:ascii="Arial" w:eastAsia="Calibri" w:hAnsi="Arial" w:cs="Arial"/>
          <w:sz w:val="24"/>
          <w:szCs w:val="24"/>
          <w:lang w:val="es-MX"/>
        </w:rPr>
        <w:t xml:space="preserve">En virtud de las anteriores consideraciones, se somete a conocimiento de la Asamblea Legislativa el siguiente proyecto de ley. </w:t>
      </w:r>
    </w:p>
    <w:p w:rsidR="008B6FD9" w:rsidRPr="003A5530" w:rsidRDefault="008B6FD9" w:rsidP="003A5530">
      <w:pPr>
        <w:spacing w:after="0" w:line="360" w:lineRule="auto"/>
        <w:jc w:val="both"/>
        <w:rPr>
          <w:rFonts w:ascii="Arial" w:eastAsia="Calibri" w:hAnsi="Arial" w:cs="Arial"/>
          <w:i/>
          <w:lang w:val="es-MX"/>
        </w:rPr>
      </w:pPr>
    </w:p>
    <w:p w:rsidR="008B6FD9" w:rsidRPr="003A5530" w:rsidRDefault="008B6FD9" w:rsidP="003A5530">
      <w:pPr>
        <w:spacing w:after="0" w:line="360" w:lineRule="auto"/>
        <w:jc w:val="both"/>
        <w:rPr>
          <w:rFonts w:ascii="Arial" w:eastAsia="Calibri" w:hAnsi="Arial" w:cs="Arial"/>
          <w:i/>
          <w:lang w:val="es-MX"/>
        </w:rPr>
      </w:pPr>
    </w:p>
    <w:p w:rsidR="004F3BB6" w:rsidRPr="003A5530" w:rsidRDefault="004F3BB6" w:rsidP="003A5530">
      <w:pPr>
        <w:spacing w:after="0" w:line="360" w:lineRule="auto"/>
        <w:jc w:val="both"/>
        <w:rPr>
          <w:rFonts w:ascii="Arial" w:eastAsia="Calibri" w:hAnsi="Arial" w:cs="Arial"/>
          <w:i/>
          <w:lang w:val="es-MX"/>
        </w:rPr>
      </w:pPr>
      <w:r w:rsidRPr="003A5530">
        <w:rPr>
          <w:rFonts w:ascii="Arial" w:eastAsia="Calibri" w:hAnsi="Arial" w:cs="Arial"/>
          <w:i/>
          <w:lang w:val="es-MX"/>
        </w:rPr>
        <w:t>Fuentes consultadas:</w:t>
      </w:r>
    </w:p>
    <w:p w:rsidR="008B6FD9" w:rsidRPr="003A5530" w:rsidRDefault="008B6FD9" w:rsidP="003A5530">
      <w:pPr>
        <w:spacing w:after="0" w:line="360" w:lineRule="auto"/>
        <w:jc w:val="both"/>
        <w:rPr>
          <w:rFonts w:ascii="Arial" w:eastAsia="Calibri" w:hAnsi="Arial" w:cs="Arial"/>
          <w:i/>
          <w:lang w:val="es-MX"/>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Asamblea Legislativa de Costa Rica. Sistema de Información Legislativa </w:t>
      </w:r>
      <w:hyperlink r:id="rId14" w:history="1">
        <w:r w:rsidRPr="003A5530">
          <w:rPr>
            <w:rStyle w:val="Hipervnculo"/>
            <w:rFonts w:ascii="Arial" w:eastAsia="Calibri" w:hAnsi="Arial" w:cs="Arial"/>
            <w:i/>
          </w:rPr>
          <w:t>http://www.asamblea.go.cr/Centro_de_informacion/Consultas_SIL/SitePages/ConsultaProyectos.aspx</w:t>
        </w:r>
      </w:hyperlink>
      <w:r w:rsidRPr="003A5530">
        <w:rPr>
          <w:rFonts w:ascii="Arial" w:eastAsia="Calibri" w:hAnsi="Arial" w:cs="Arial"/>
          <w:i/>
        </w:rPr>
        <w:t xml:space="preserve"> </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Barquera, Simón et al. (2016). “Análisis de regulaciones y prácticas para el etiquetado de alimentos y bebidas para niños y adolescentes en algunos países de América Latina (Argentina, Chile, Costa Rica y México) y recomendaciones para facilitar la información al consumidor”. Fondo de las Naciones Unidas para la Infancia, UNICEF. Disponible en: </w:t>
      </w:r>
      <w:hyperlink r:id="rId15" w:history="1">
        <w:r w:rsidRPr="003A5530">
          <w:rPr>
            <w:rStyle w:val="Hipervnculo"/>
            <w:rFonts w:ascii="Arial" w:eastAsia="Calibri" w:hAnsi="Arial" w:cs="Arial"/>
            <w:i/>
          </w:rPr>
          <w:t>https://www.unicef.org/lac/informes/an%C3%A1lisis-de-regulaciones-y-pr%C3%A1cticas-para-el-etiquetado-de-alimentos-y-bebidas</w:t>
        </w:r>
      </w:hyperlink>
      <w:r w:rsidRPr="003A5530">
        <w:rPr>
          <w:rFonts w:ascii="Arial" w:eastAsia="Calibri" w:hAnsi="Arial" w:cs="Arial"/>
          <w:i/>
        </w:rPr>
        <w:t xml:space="preserve">  Consultado el 24 de abril de 2020.</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Baeza, Silvia (2016). “Ley 20.606 sobre composición nutricional de los alimentos y su publicidad”. Departamento de Nutrición y Alimentos Subsecretaría de Salud Pública. Disponible en: </w:t>
      </w:r>
      <w:hyperlink r:id="rId16" w:history="1">
        <w:r w:rsidRPr="003A5530">
          <w:rPr>
            <w:rStyle w:val="Hipervnculo"/>
            <w:rFonts w:ascii="Arial" w:eastAsia="Calibri" w:hAnsi="Arial" w:cs="Arial"/>
            <w:i/>
          </w:rPr>
          <w:t>https://www.achipia.gob.cl/wp-content/uploads/2016/06/1-MINSAL-Ley-20.606-Dra.-Silvia-Baeza.pdf</w:t>
        </w:r>
      </w:hyperlink>
      <w:r w:rsidRPr="003A5530">
        <w:rPr>
          <w:rFonts w:ascii="Arial" w:eastAsia="Calibri" w:hAnsi="Arial" w:cs="Arial"/>
          <w:i/>
        </w:rPr>
        <w:t xml:space="preserve">   Consultado el 24 de abril de 2020. </w:t>
      </w:r>
    </w:p>
    <w:p w:rsidR="00D172FD" w:rsidRPr="003A5530" w:rsidRDefault="00D172FD" w:rsidP="003A5530">
      <w:pPr>
        <w:pStyle w:val="Prrafodelista"/>
        <w:spacing w:after="0" w:line="360" w:lineRule="auto"/>
        <w:rPr>
          <w:rFonts w:ascii="Arial" w:eastAsia="Calibri" w:hAnsi="Arial" w:cs="Arial"/>
          <w:i/>
        </w:rPr>
      </w:pPr>
    </w:p>
    <w:p w:rsidR="00D172FD" w:rsidRPr="003A5530" w:rsidRDefault="00D172FD"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Cámara Costarricense de la Industria Alimentaria. (s.f.). “Empresas de la Industria Alimentaria afianzan compromiso para cumplir con Programa Nacional de Reducción de Sodio”. Disponible en: </w:t>
      </w:r>
      <w:hyperlink r:id="rId17" w:history="1">
        <w:r w:rsidRPr="003A5530">
          <w:rPr>
            <w:rStyle w:val="Hipervnculo"/>
            <w:rFonts w:ascii="Arial" w:eastAsia="Calibri" w:hAnsi="Arial" w:cs="Arial"/>
            <w:i/>
          </w:rPr>
          <w:t>http://www.cacia.org/empresas-de-la-industria-</w:t>
        </w:r>
        <w:r w:rsidRPr="003A5530">
          <w:rPr>
            <w:rStyle w:val="Hipervnculo"/>
            <w:rFonts w:ascii="Arial" w:eastAsia="Calibri" w:hAnsi="Arial" w:cs="Arial"/>
            <w:i/>
          </w:rPr>
          <w:lastRenderedPageBreak/>
          <w:t>alimentaria-afianzan-compromiso-para-cumplir-con-programa-nacional-de-reduccion-de-sodio/</w:t>
        </w:r>
      </w:hyperlink>
      <w:r w:rsidRPr="003A5530">
        <w:rPr>
          <w:rFonts w:ascii="Arial" w:eastAsia="Calibri" w:hAnsi="Arial" w:cs="Arial"/>
          <w:i/>
        </w:rPr>
        <w:t xml:space="preserve">  Consultado el 22 de mayo de 2020.</w:t>
      </w:r>
    </w:p>
    <w:p w:rsidR="004F3BB6" w:rsidRPr="003A5530" w:rsidRDefault="004F3BB6" w:rsidP="003A5530">
      <w:pPr>
        <w:spacing w:after="0" w:line="360" w:lineRule="auto"/>
        <w:jc w:val="both"/>
        <w:rPr>
          <w:rFonts w:ascii="Arial" w:eastAsia="Calibri" w:hAnsi="Arial" w:cs="Arial"/>
          <w:i/>
        </w:rPr>
      </w:pPr>
    </w:p>
    <w:p w:rsidR="004F3BB6" w:rsidRDefault="009A2BB4"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Censo Escolar de Peso-Talla (2016). Ministerio de Educación Pública-Ministerio de Salud- CEN CINAI-UNICEF. Disponible en: </w:t>
      </w:r>
      <w:hyperlink r:id="rId18" w:history="1">
        <w:r w:rsidRPr="003A5530">
          <w:rPr>
            <w:rStyle w:val="Hipervnculo"/>
            <w:rFonts w:ascii="Arial" w:eastAsia="Calibri" w:hAnsi="Arial" w:cs="Arial"/>
            <w:i/>
          </w:rPr>
          <w:t>https://www.mep.go.cr/sites/default/files/page/adjuntos/informe-ejecutivo-censo-escolar-peso-cortofinal.pdf</w:t>
        </w:r>
      </w:hyperlink>
      <w:r w:rsidRPr="003A5530">
        <w:rPr>
          <w:rFonts w:ascii="Arial" w:eastAsia="Calibri" w:hAnsi="Arial" w:cs="Arial"/>
          <w:i/>
        </w:rPr>
        <w:t xml:space="preserve">  Consultado el 24 de abril de 2020.</w:t>
      </w:r>
    </w:p>
    <w:p w:rsidR="00CD3A1E" w:rsidRPr="00CD3A1E" w:rsidRDefault="00CD3A1E" w:rsidP="00CD3A1E">
      <w:pPr>
        <w:pStyle w:val="Prrafodelista"/>
        <w:rPr>
          <w:rFonts w:ascii="Arial" w:eastAsia="Calibri" w:hAnsi="Arial" w:cs="Arial"/>
          <w:i/>
        </w:rPr>
      </w:pPr>
    </w:p>
    <w:p w:rsidR="00CD3A1E" w:rsidRPr="00CD3A1E" w:rsidRDefault="00CD3A1E" w:rsidP="00CD3A1E">
      <w:pPr>
        <w:pStyle w:val="Prrafodelista"/>
        <w:numPr>
          <w:ilvl w:val="0"/>
          <w:numId w:val="4"/>
        </w:numPr>
        <w:spacing w:after="0" w:line="360" w:lineRule="auto"/>
        <w:jc w:val="both"/>
        <w:rPr>
          <w:rFonts w:ascii="Arial" w:eastAsia="Calibri" w:hAnsi="Arial" w:cs="Arial"/>
          <w:i/>
        </w:rPr>
      </w:pPr>
      <w:r w:rsidRPr="00CD3A1E">
        <w:rPr>
          <w:rFonts w:ascii="Arial" w:eastAsia="Calibri" w:hAnsi="Arial" w:cs="Arial"/>
          <w:i/>
        </w:rPr>
        <w:t xml:space="preserve">“Consumo de bebidas azucaradas cae en Chile tras ley de etiquetado de alimentos”. El Economista. Publicado el 29 de febrero de 2020. Disponible en: </w:t>
      </w:r>
      <w:hyperlink r:id="rId19" w:history="1">
        <w:r w:rsidRPr="00117952">
          <w:rPr>
            <w:rStyle w:val="Hipervnculo"/>
            <w:rFonts w:ascii="Arial" w:eastAsia="Calibri" w:hAnsi="Arial" w:cs="Arial"/>
            <w:i/>
          </w:rPr>
          <w:t>https://www.eleconomista.com.mx/internacionales/Consumo-de-bebidas-azucaradas-cae-en-Chile-tras-ley-de-etiquetado-de-alimentos-20200229-0021.html</w:t>
        </w:r>
      </w:hyperlink>
      <w:r>
        <w:rPr>
          <w:rFonts w:ascii="Arial" w:eastAsia="Calibri" w:hAnsi="Arial" w:cs="Arial"/>
          <w:i/>
        </w:rPr>
        <w:t xml:space="preserve"> </w:t>
      </w:r>
      <w:r w:rsidRPr="00CD3A1E">
        <w:rPr>
          <w:rFonts w:ascii="Arial" w:eastAsia="Calibri" w:hAnsi="Arial" w:cs="Arial"/>
          <w:i/>
        </w:rPr>
        <w:t>Consultado el 1 de julio de 2020.</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“Costa Rica es el segundo país con mayor obesidad de América Latina”. Elmundo.cr. Publicado el 12 de noviembre de 2018. Disponible en: </w:t>
      </w:r>
      <w:hyperlink r:id="rId20" w:history="1">
        <w:r w:rsidRPr="003A5530">
          <w:rPr>
            <w:rStyle w:val="Hipervnculo"/>
            <w:rFonts w:ascii="Arial" w:eastAsia="Calibri" w:hAnsi="Arial" w:cs="Arial"/>
            <w:i/>
          </w:rPr>
          <w:t>https://www.elmundo.cr/costa-rica/costa-rica-es-el-segundo-pais-con-mayor-obesidad-de-america-latina/</w:t>
        </w:r>
      </w:hyperlink>
      <w:r w:rsidRPr="003A5530">
        <w:rPr>
          <w:rFonts w:ascii="Arial" w:eastAsia="Calibri" w:hAnsi="Arial" w:cs="Arial"/>
          <w:i/>
        </w:rPr>
        <w:t xml:space="preserve">  Consultado el 24 de abril de 2020.</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INTA Chile. Estudio sobre evaluación de mensajes de advertencia de nutrientes críticos en el rotulado de alimentos. 2012. </w:t>
      </w:r>
      <w:hyperlink r:id="rId21" w:history="1">
        <w:r w:rsidRPr="003A5530">
          <w:rPr>
            <w:rStyle w:val="Hipervnculo"/>
            <w:rFonts w:ascii="Arial" w:eastAsia="Calibri" w:hAnsi="Arial" w:cs="Arial"/>
            <w:i/>
          </w:rPr>
          <w:t>https://ciperchile.cl/pdfs/2014/11/alimentos/INFORME-FINAL-MENSAJES-INTA.pdf</w:t>
        </w:r>
      </w:hyperlink>
      <w:r w:rsidRPr="003A5530">
        <w:rPr>
          <w:rFonts w:ascii="Arial" w:eastAsia="Calibri" w:hAnsi="Arial" w:cs="Arial"/>
          <w:i/>
        </w:rPr>
        <w:t xml:space="preserve">  Consultado el 24 de abril de 2020.</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Ley 20.606. SOBRE COMPOSICIÓN NUTRICIONAL DE LOS ALIMENTOS Y SU PUBLICIDAD. Biblioteca del Congreso Nacional de Chile. Disponible en: </w:t>
      </w:r>
      <w:hyperlink r:id="rId22" w:history="1">
        <w:r w:rsidRPr="003A5530">
          <w:rPr>
            <w:rStyle w:val="Hipervnculo"/>
            <w:rFonts w:ascii="Arial" w:eastAsia="Calibri" w:hAnsi="Arial" w:cs="Arial"/>
            <w:i/>
          </w:rPr>
          <w:t>https://www.leychile.cl/Navegar?idNorma=1041570&amp;idVersion=2015-11-13</w:t>
        </w:r>
      </w:hyperlink>
      <w:r w:rsidRPr="003A5530">
        <w:rPr>
          <w:rFonts w:ascii="Arial" w:eastAsia="Calibri" w:hAnsi="Arial" w:cs="Arial"/>
          <w:i/>
        </w:rPr>
        <w:t xml:space="preserve">  Consultado el 24 de abril de 2020.</w:t>
      </w:r>
    </w:p>
    <w:p w:rsidR="00D8714D" w:rsidRPr="003A5530" w:rsidRDefault="00BD663F" w:rsidP="003A5530">
      <w:pPr>
        <w:spacing w:after="0" w:line="360" w:lineRule="auto"/>
        <w:jc w:val="both"/>
        <w:rPr>
          <w:rFonts w:ascii="Arial" w:eastAsia="Calibri" w:hAnsi="Arial" w:cs="Arial"/>
          <w:i/>
        </w:rPr>
      </w:pPr>
    </w:p>
    <w:p w:rsidR="00D8714D" w:rsidRPr="003A5530" w:rsidRDefault="009A2BB4"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Ministerio de Salud et al. (2010). “Encuesta Nacional de Nutrición 2008-2009”. Ministerio de Salud, San José, Costa Rica. </w:t>
      </w:r>
    </w:p>
    <w:p w:rsidR="00EB1F22" w:rsidRPr="003A5530" w:rsidRDefault="00EB1F22" w:rsidP="003A5530">
      <w:pPr>
        <w:pStyle w:val="Prrafodelista"/>
        <w:spacing w:after="0" w:line="360" w:lineRule="auto"/>
        <w:rPr>
          <w:rFonts w:ascii="Arial" w:eastAsia="Calibri" w:hAnsi="Arial" w:cs="Arial"/>
          <w:i/>
        </w:rPr>
      </w:pPr>
    </w:p>
    <w:p w:rsidR="00EB1F22" w:rsidRPr="003A5530" w:rsidRDefault="00EB1F22"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lastRenderedPageBreak/>
        <w:t>Ministerio de Salud. (2014). “Estrategia nacional de abordaje integral de las enfermedades crónicas no transmisibles y obesidad y su plan de acción”. San José, Costa Rica.</w:t>
      </w:r>
    </w:p>
    <w:p w:rsidR="00D8714D" w:rsidRPr="003A5530" w:rsidRDefault="00BD663F" w:rsidP="003A5530">
      <w:pPr>
        <w:spacing w:after="0" w:line="360" w:lineRule="auto"/>
        <w:jc w:val="both"/>
        <w:rPr>
          <w:rFonts w:ascii="Arial" w:eastAsia="Calibri" w:hAnsi="Arial" w:cs="Arial"/>
          <w:i/>
        </w:rPr>
      </w:pPr>
    </w:p>
    <w:p w:rsidR="004F3BB6" w:rsidRPr="003A5530" w:rsidRDefault="009A2BB4"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Morales, Cristian y Malo, Miguel (s.f.) “Recomendaciones de la Organización Panamericana de Salud/Organización Mundial de Salud (OPS/OMS) sobre Etiquetado Frontal de Alimentos”. Organización Panamericana de Salud/Organización Mundial de Salud (OPS/OMS). Disponible en: </w:t>
      </w:r>
      <w:hyperlink r:id="rId23" w:history="1">
        <w:r w:rsidRPr="003A5530">
          <w:rPr>
            <w:rStyle w:val="Hipervnculo"/>
            <w:rFonts w:ascii="Arial" w:eastAsia="Calibri" w:hAnsi="Arial" w:cs="Arial"/>
            <w:i/>
          </w:rPr>
          <w:t>http://comisiones.senado.gob.mx/salud/docs/etiquetado/alimentos.pdf</w:t>
        </w:r>
      </w:hyperlink>
      <w:r w:rsidRPr="003A5530">
        <w:rPr>
          <w:rFonts w:ascii="Arial" w:eastAsia="Calibri" w:hAnsi="Arial" w:cs="Arial"/>
          <w:i/>
        </w:rPr>
        <w:t xml:space="preserve">  Consultado el 24 de abril de 2020.</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Norma Oficial Mexicana NOM-051-SCFI/SSA1-2010, Especificaciones generales de etiquetado para alimentos y bebidas no alcohólicas preenvasados -Información comercial y sanitaria. Publicada el 5 de abril de 2010. Disponible en: </w:t>
      </w:r>
      <w:hyperlink r:id="rId24" w:history="1">
        <w:r w:rsidRPr="003A5530">
          <w:rPr>
            <w:rStyle w:val="Hipervnculo"/>
            <w:rFonts w:ascii="Arial" w:eastAsia="Calibri" w:hAnsi="Arial" w:cs="Arial"/>
            <w:i/>
          </w:rPr>
          <w:t>https://www.dof.gob.mx/2020/SEECO/NOM_051.pdf</w:t>
        </w:r>
      </w:hyperlink>
      <w:r w:rsidRPr="003A5530">
        <w:rPr>
          <w:rFonts w:ascii="Arial" w:eastAsia="Calibri" w:hAnsi="Arial" w:cs="Arial"/>
          <w:i/>
        </w:rPr>
        <w:t xml:space="preserve"> Consultado el 24 de abril de 2020.</w:t>
      </w:r>
    </w:p>
    <w:p w:rsidR="000B4A32" w:rsidRPr="003A5530" w:rsidRDefault="000B4A32" w:rsidP="003A5530">
      <w:pPr>
        <w:pStyle w:val="Prrafodelista"/>
        <w:spacing w:after="0" w:line="360" w:lineRule="auto"/>
        <w:rPr>
          <w:rFonts w:ascii="Arial" w:eastAsia="Calibri" w:hAnsi="Arial" w:cs="Arial"/>
          <w:i/>
        </w:rPr>
      </w:pPr>
    </w:p>
    <w:p w:rsidR="000B4A32" w:rsidRPr="003A5530" w:rsidRDefault="000B4A32"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“Nueva normalidad implica cambios en hábitos alimenticios”. CRHoy.com. Publicado el 17 de mayo de 2020. Disponible en: </w:t>
      </w:r>
      <w:hyperlink r:id="rId25" w:history="1">
        <w:r w:rsidRPr="003A5530">
          <w:rPr>
            <w:rStyle w:val="Hipervnculo"/>
            <w:rFonts w:ascii="Arial" w:eastAsia="Calibri" w:hAnsi="Arial" w:cs="Arial"/>
            <w:i/>
          </w:rPr>
          <w:t>https://www.crhoy.com/nacionales/nueva-normalidad-implica-cambios-en-habitos-alimenticios/</w:t>
        </w:r>
      </w:hyperlink>
      <w:r w:rsidRPr="003A5530">
        <w:rPr>
          <w:rFonts w:ascii="Arial" w:eastAsia="Calibri" w:hAnsi="Arial" w:cs="Arial"/>
          <w:i/>
        </w:rPr>
        <w:t xml:space="preserve">  Consultado el 20 de mayo de 2020.</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lang w:val="es-MX"/>
        </w:rPr>
      </w:pPr>
      <w:r w:rsidRPr="003A5530">
        <w:rPr>
          <w:rFonts w:ascii="Arial" w:eastAsia="Calibri" w:hAnsi="Arial" w:cs="Arial"/>
          <w:i/>
          <w:lang w:val="es-MX"/>
        </w:rPr>
        <w:t xml:space="preserve">“Nuevo proyecto de ley sobre etiquetado de los alimentos”. ComunicarSe. Publicado el 29 de noviembre de 2015. Disponible en: </w:t>
      </w:r>
      <w:hyperlink r:id="rId26" w:history="1">
        <w:r w:rsidRPr="003A5530">
          <w:rPr>
            <w:rStyle w:val="Hipervnculo"/>
            <w:rFonts w:ascii="Arial" w:eastAsia="Calibri" w:hAnsi="Arial" w:cs="Arial"/>
            <w:i/>
            <w:lang w:val="es-MX"/>
          </w:rPr>
          <w:t>https://www.comunicarseweb.com/noticia/nuevo-proyecto-de-ley-sobre-etiquetado-de-los-alimentos</w:t>
        </w:r>
      </w:hyperlink>
      <w:r w:rsidRPr="003A5530">
        <w:rPr>
          <w:rFonts w:ascii="Arial" w:eastAsia="Calibri" w:hAnsi="Arial" w:cs="Arial"/>
          <w:i/>
          <w:lang w:val="es-MX"/>
        </w:rPr>
        <w:t xml:space="preserve"> Consultado el 24 de abril de 2020. </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Organización Panamericana de la Salud. (2016). “Modelo de perfil de nutrientes de la Organización Panamericana de la Salud”. Washington, DC. OPS. Disponible en: </w:t>
      </w:r>
      <w:hyperlink r:id="rId27" w:history="1">
        <w:r w:rsidRPr="003A5530">
          <w:rPr>
            <w:rStyle w:val="Hipervnculo"/>
            <w:rFonts w:ascii="Arial" w:eastAsia="Calibri" w:hAnsi="Arial" w:cs="Arial"/>
            <w:i/>
          </w:rPr>
          <w:t>https://iris.paho.org/bitstream/handle/10665.2/18622/9789275318737_spa.pdf?sequence=9&amp;isAllowed=y</w:t>
        </w:r>
      </w:hyperlink>
      <w:r w:rsidRPr="003A5530">
        <w:rPr>
          <w:rFonts w:ascii="Arial" w:eastAsia="Calibri" w:hAnsi="Arial" w:cs="Arial"/>
          <w:i/>
        </w:rPr>
        <w:t xml:space="preserve">  Consultado el 24 de abril de 2020. </w:t>
      </w:r>
    </w:p>
    <w:p w:rsidR="00D8714D" w:rsidRPr="003A5530" w:rsidRDefault="00BD663F" w:rsidP="003A5530">
      <w:pPr>
        <w:spacing w:after="0" w:line="360" w:lineRule="auto"/>
        <w:jc w:val="both"/>
        <w:rPr>
          <w:rFonts w:ascii="Arial" w:eastAsia="Calibri" w:hAnsi="Arial" w:cs="Arial"/>
          <w:i/>
        </w:rPr>
      </w:pPr>
    </w:p>
    <w:p w:rsidR="004F3BB6" w:rsidRPr="003A5530" w:rsidRDefault="009A2BB4"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Ramírez, Rodrigo et al. (2016). “Informe Especial. Ley de Etiquetado y Publicidad de Alimentos en Chile: ¿Un modelo replicable para Latinoamérica?”. Desarrollando </w:t>
      </w:r>
      <w:r w:rsidRPr="003A5530">
        <w:rPr>
          <w:rFonts w:ascii="Arial" w:eastAsia="Calibri" w:hAnsi="Arial" w:cs="Arial"/>
          <w:i/>
        </w:rPr>
        <w:lastRenderedPageBreak/>
        <w:t xml:space="preserve">Ideas, Centro de Liderazgo. LLORENTE &amp; CUENCA. Disponible en: </w:t>
      </w:r>
      <w:hyperlink r:id="rId28" w:history="1">
        <w:r w:rsidRPr="003A5530">
          <w:rPr>
            <w:rStyle w:val="Hipervnculo"/>
            <w:rFonts w:ascii="Arial" w:eastAsia="Calibri" w:hAnsi="Arial" w:cs="Arial"/>
            <w:i/>
          </w:rPr>
          <w:t>https://ideas.llorenteycuenca.com/wp-content/uploads/sites/5/2016/05/160504_DI_informe_alimentacion_chile_ESP.pdf</w:t>
        </w:r>
      </w:hyperlink>
      <w:r w:rsidRPr="003A5530">
        <w:rPr>
          <w:rFonts w:ascii="Arial" w:eastAsia="Calibri" w:hAnsi="Arial" w:cs="Arial"/>
          <w:i/>
        </w:rPr>
        <w:t xml:space="preserve">  Consultado el 24 de abril de 2020. </w:t>
      </w:r>
    </w:p>
    <w:p w:rsidR="004F3BB6" w:rsidRPr="003A5530" w:rsidRDefault="004F3BB6" w:rsidP="003A5530">
      <w:pPr>
        <w:spacing w:after="0" w:line="360" w:lineRule="auto"/>
        <w:jc w:val="both"/>
        <w:rPr>
          <w:rFonts w:ascii="Arial" w:eastAsia="Calibri" w:hAnsi="Arial" w:cs="Arial"/>
          <w:i/>
        </w:rPr>
      </w:pPr>
    </w:p>
    <w:p w:rsidR="004F3BB6"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rPr>
        <w:t xml:space="preserve">Riso Patrón, Verónica et al. (2018) “Etiquetado Nutricional Frontal de Alimentos”. Programa Nacional de Alimentación Saludable y Prevención de Obesidad de la Secretaría de Gobierno de Salud de la República Argentina. Disponible en: </w:t>
      </w:r>
      <w:hyperlink r:id="rId29" w:history="1">
        <w:r w:rsidRPr="003A5530">
          <w:rPr>
            <w:rStyle w:val="Hipervnculo"/>
            <w:rFonts w:ascii="Arial" w:eastAsia="Calibri" w:hAnsi="Arial" w:cs="Arial"/>
            <w:i/>
          </w:rPr>
          <w:t>http://www.msal.gob.ar/images/stories/bes/graficos/0000001380cnt-2019-06_etiquedato-nutricional-frontal-alimentos.pdf</w:t>
        </w:r>
      </w:hyperlink>
      <w:r w:rsidRPr="003A5530">
        <w:rPr>
          <w:rFonts w:ascii="Arial" w:eastAsia="Calibri" w:hAnsi="Arial" w:cs="Arial"/>
          <w:i/>
        </w:rPr>
        <w:t xml:space="preserve"> Consultado el 24 de abril de 2020.</w:t>
      </w:r>
    </w:p>
    <w:p w:rsidR="004F3BB6" w:rsidRPr="003A5530" w:rsidRDefault="004F3BB6" w:rsidP="003A5530">
      <w:pPr>
        <w:spacing w:after="0" w:line="360" w:lineRule="auto"/>
        <w:jc w:val="both"/>
        <w:rPr>
          <w:rFonts w:ascii="Arial" w:eastAsia="Calibri" w:hAnsi="Arial" w:cs="Arial"/>
          <w:i/>
        </w:rPr>
      </w:pPr>
    </w:p>
    <w:p w:rsidR="00D8714D" w:rsidRPr="003A5530" w:rsidRDefault="004F3BB6" w:rsidP="003A5530">
      <w:pPr>
        <w:pStyle w:val="Prrafodelista"/>
        <w:numPr>
          <w:ilvl w:val="0"/>
          <w:numId w:val="4"/>
        </w:numPr>
        <w:spacing w:after="0" w:line="360" w:lineRule="auto"/>
        <w:jc w:val="both"/>
        <w:rPr>
          <w:rFonts w:ascii="Arial" w:eastAsia="Calibri" w:hAnsi="Arial" w:cs="Arial"/>
          <w:i/>
        </w:rPr>
      </w:pPr>
      <w:r w:rsidRPr="003A5530">
        <w:rPr>
          <w:rFonts w:ascii="Arial" w:eastAsia="Calibri" w:hAnsi="Arial" w:cs="Arial"/>
          <w:i/>
          <w:lang w:val="es-MX"/>
        </w:rPr>
        <w:t xml:space="preserve">UNICEF. Comunicado de prensa. “UNICEF: El etiquetado frontal de alimentos y bebidas aprobado en México, ‘de los mejores del mundo’”. Publicado el 5 de febrero de 2020. Disponible en: </w:t>
      </w:r>
      <w:hyperlink r:id="rId30" w:history="1">
        <w:r w:rsidRPr="003A5530">
          <w:rPr>
            <w:rStyle w:val="Hipervnculo"/>
            <w:rFonts w:ascii="Arial" w:eastAsia="Calibri" w:hAnsi="Arial" w:cs="Arial"/>
            <w:i/>
            <w:lang w:val="es-MX"/>
          </w:rPr>
          <w:t>https://www.unicef.org/mexico/comunicados-prensa/unicef-el-etiquetado-frontal-de-alimentos-y-bebidas-aprobado-en-méxico-de-los</w:t>
        </w:r>
      </w:hyperlink>
      <w:r w:rsidRPr="003A5530">
        <w:rPr>
          <w:rFonts w:ascii="Arial" w:eastAsia="Calibri" w:hAnsi="Arial" w:cs="Arial"/>
          <w:i/>
          <w:lang w:val="es-MX"/>
        </w:rPr>
        <w:t xml:space="preserve"> Consultado el 24 de abril de 2020.</w:t>
      </w:r>
    </w:p>
    <w:p w:rsidR="004F3BB6" w:rsidRPr="003A5530" w:rsidRDefault="004F3BB6" w:rsidP="003A5530">
      <w:pPr>
        <w:spacing w:after="0" w:line="360" w:lineRule="auto"/>
        <w:jc w:val="both"/>
        <w:rPr>
          <w:rFonts w:ascii="Arial" w:eastAsia="Calibri" w:hAnsi="Arial" w:cs="Arial"/>
          <w:i/>
          <w:sz w:val="20"/>
          <w:szCs w:val="20"/>
          <w:lang w:val="es-MX"/>
        </w:rPr>
      </w:pPr>
    </w:p>
    <w:p w:rsidR="007B5DEA" w:rsidRPr="003A5530" w:rsidRDefault="007B5DEA"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Pr="003A5530" w:rsidRDefault="008B6FD9" w:rsidP="003A5530">
      <w:pPr>
        <w:spacing w:after="0" w:line="360" w:lineRule="auto"/>
        <w:jc w:val="both"/>
        <w:rPr>
          <w:rFonts w:ascii="Arial" w:eastAsia="Calibri" w:hAnsi="Arial" w:cs="Arial"/>
          <w:sz w:val="24"/>
          <w:szCs w:val="24"/>
          <w:shd w:val="clear" w:color="auto" w:fill="FFFFFF"/>
        </w:rPr>
      </w:pPr>
    </w:p>
    <w:p w:rsidR="008B6FD9" w:rsidRDefault="008B6FD9" w:rsidP="003A5530">
      <w:pPr>
        <w:spacing w:after="0" w:line="360" w:lineRule="auto"/>
        <w:jc w:val="both"/>
        <w:rPr>
          <w:rFonts w:ascii="Arial" w:eastAsia="Calibri" w:hAnsi="Arial" w:cs="Arial"/>
          <w:sz w:val="24"/>
          <w:szCs w:val="24"/>
          <w:shd w:val="clear" w:color="auto" w:fill="FFFFFF"/>
        </w:rPr>
      </w:pPr>
    </w:p>
    <w:p w:rsidR="00CD3A1E" w:rsidRDefault="00CD3A1E" w:rsidP="003A5530">
      <w:pPr>
        <w:spacing w:after="0" w:line="360" w:lineRule="auto"/>
        <w:jc w:val="both"/>
        <w:rPr>
          <w:rFonts w:ascii="Arial" w:eastAsia="Calibri" w:hAnsi="Arial" w:cs="Arial"/>
          <w:sz w:val="24"/>
          <w:szCs w:val="24"/>
          <w:shd w:val="clear" w:color="auto" w:fill="FFFFFF"/>
        </w:rPr>
      </w:pPr>
    </w:p>
    <w:p w:rsidR="00CD3A1E" w:rsidRDefault="00CD3A1E" w:rsidP="003A5530">
      <w:pPr>
        <w:spacing w:after="0" w:line="360" w:lineRule="auto"/>
        <w:jc w:val="both"/>
        <w:rPr>
          <w:rFonts w:ascii="Arial" w:eastAsia="Calibri" w:hAnsi="Arial" w:cs="Arial"/>
          <w:sz w:val="24"/>
          <w:szCs w:val="24"/>
          <w:shd w:val="clear" w:color="auto" w:fill="FFFFFF"/>
        </w:rPr>
      </w:pPr>
    </w:p>
    <w:p w:rsidR="00CD3A1E" w:rsidRDefault="00CD3A1E" w:rsidP="003A5530">
      <w:pPr>
        <w:spacing w:after="0" w:line="360" w:lineRule="auto"/>
        <w:jc w:val="both"/>
        <w:rPr>
          <w:rFonts w:ascii="Arial" w:eastAsia="Calibri" w:hAnsi="Arial" w:cs="Arial"/>
          <w:sz w:val="24"/>
          <w:szCs w:val="24"/>
          <w:shd w:val="clear" w:color="auto" w:fill="FFFFFF"/>
        </w:rPr>
      </w:pPr>
    </w:p>
    <w:p w:rsidR="00CD3A1E" w:rsidRDefault="00CD3A1E" w:rsidP="003A5530">
      <w:pPr>
        <w:spacing w:after="0" w:line="360" w:lineRule="auto"/>
        <w:jc w:val="both"/>
        <w:rPr>
          <w:rFonts w:ascii="Arial" w:eastAsia="Calibri" w:hAnsi="Arial" w:cs="Arial"/>
          <w:sz w:val="24"/>
          <w:szCs w:val="24"/>
          <w:shd w:val="clear" w:color="auto" w:fill="FFFFFF"/>
        </w:rPr>
      </w:pPr>
    </w:p>
    <w:p w:rsidR="00CD3A1E" w:rsidRPr="003A5530" w:rsidRDefault="00CD3A1E" w:rsidP="003A5530">
      <w:pPr>
        <w:spacing w:after="0" w:line="360" w:lineRule="auto"/>
        <w:jc w:val="both"/>
        <w:rPr>
          <w:rFonts w:ascii="Arial" w:eastAsia="Calibri" w:hAnsi="Arial" w:cs="Arial"/>
          <w:sz w:val="24"/>
          <w:szCs w:val="24"/>
          <w:shd w:val="clear" w:color="auto" w:fill="FFFFFF"/>
        </w:rPr>
      </w:pPr>
    </w:p>
    <w:p w:rsidR="00D172FD" w:rsidRPr="003A5530" w:rsidRDefault="00D172FD" w:rsidP="003A5530">
      <w:pPr>
        <w:spacing w:after="0" w:line="360" w:lineRule="auto"/>
        <w:rPr>
          <w:rFonts w:ascii="Arial" w:eastAsia="Calibri" w:hAnsi="Arial" w:cs="Arial"/>
          <w:sz w:val="24"/>
          <w:szCs w:val="24"/>
          <w:shd w:val="clear" w:color="auto" w:fill="FFFFFF"/>
        </w:rPr>
      </w:pPr>
    </w:p>
    <w:p w:rsidR="007B5DEA" w:rsidRPr="003A5530" w:rsidRDefault="007B5DEA" w:rsidP="003A5530">
      <w:pPr>
        <w:spacing w:after="0" w:line="360" w:lineRule="auto"/>
        <w:jc w:val="center"/>
        <w:rPr>
          <w:rFonts w:ascii="Arial" w:eastAsia="Calibri" w:hAnsi="Arial" w:cs="Arial"/>
          <w:sz w:val="24"/>
          <w:szCs w:val="24"/>
          <w:shd w:val="clear" w:color="auto" w:fill="FFFFFF"/>
        </w:rPr>
      </w:pPr>
      <w:r w:rsidRPr="003A5530">
        <w:rPr>
          <w:rFonts w:ascii="Arial" w:eastAsia="Calibri" w:hAnsi="Arial" w:cs="Arial"/>
          <w:sz w:val="24"/>
          <w:szCs w:val="24"/>
          <w:shd w:val="clear" w:color="auto" w:fill="FFFFFF"/>
        </w:rPr>
        <w:lastRenderedPageBreak/>
        <w:t>LA ASAMBLEA LEGISLATIVA DE LA REPÚBLICA DE COSTA RICA</w:t>
      </w:r>
    </w:p>
    <w:p w:rsidR="007B5DEA" w:rsidRPr="003A5530" w:rsidRDefault="007B5DEA" w:rsidP="003A5530">
      <w:pPr>
        <w:spacing w:after="0" w:line="360" w:lineRule="auto"/>
        <w:jc w:val="center"/>
        <w:rPr>
          <w:rFonts w:ascii="Arial" w:eastAsia="Calibri" w:hAnsi="Arial" w:cs="Arial"/>
          <w:sz w:val="24"/>
          <w:szCs w:val="24"/>
          <w:shd w:val="clear" w:color="auto" w:fill="FFFFFF"/>
        </w:rPr>
      </w:pPr>
      <w:r w:rsidRPr="003A5530">
        <w:rPr>
          <w:rFonts w:ascii="Arial" w:eastAsia="Calibri" w:hAnsi="Arial" w:cs="Arial"/>
          <w:sz w:val="24"/>
          <w:szCs w:val="24"/>
          <w:shd w:val="clear" w:color="auto" w:fill="FFFFFF"/>
        </w:rPr>
        <w:t>DECRETA:</w:t>
      </w:r>
    </w:p>
    <w:p w:rsidR="007B5DEA" w:rsidRPr="003A5530" w:rsidRDefault="007B5DEA" w:rsidP="003A5530">
      <w:pPr>
        <w:spacing w:after="0" w:line="360" w:lineRule="auto"/>
        <w:rPr>
          <w:rFonts w:ascii="Arial" w:hAnsi="Arial" w:cs="Arial"/>
          <w:b/>
          <w:sz w:val="24"/>
          <w:szCs w:val="24"/>
        </w:rPr>
      </w:pPr>
    </w:p>
    <w:p w:rsidR="007B5DEA" w:rsidRPr="003A5530" w:rsidRDefault="007B5DEA" w:rsidP="003A5530">
      <w:pPr>
        <w:spacing w:after="0" w:line="360" w:lineRule="auto"/>
        <w:jc w:val="center"/>
        <w:rPr>
          <w:rFonts w:ascii="Arial" w:hAnsi="Arial" w:cs="Arial"/>
          <w:b/>
          <w:sz w:val="24"/>
          <w:szCs w:val="24"/>
        </w:rPr>
      </w:pPr>
    </w:p>
    <w:p w:rsidR="007B5DEA" w:rsidRPr="003A5530" w:rsidRDefault="007B5DEA" w:rsidP="003A5530">
      <w:pPr>
        <w:spacing w:after="0" w:line="360" w:lineRule="auto"/>
        <w:jc w:val="center"/>
        <w:rPr>
          <w:rFonts w:ascii="Arial" w:hAnsi="Arial" w:cs="Arial"/>
          <w:b/>
          <w:sz w:val="24"/>
          <w:szCs w:val="24"/>
        </w:rPr>
      </w:pPr>
      <w:r w:rsidRPr="003A5530">
        <w:rPr>
          <w:rFonts w:ascii="Arial" w:hAnsi="Arial" w:cs="Arial"/>
          <w:b/>
          <w:sz w:val="24"/>
          <w:szCs w:val="24"/>
        </w:rPr>
        <w:t xml:space="preserve">LEY DE ETIQUETADO </w:t>
      </w:r>
      <w:r w:rsidR="004F3BB6" w:rsidRPr="003A5530">
        <w:rPr>
          <w:rFonts w:ascii="Arial" w:hAnsi="Arial" w:cs="Arial"/>
          <w:b/>
          <w:sz w:val="24"/>
          <w:szCs w:val="24"/>
        </w:rPr>
        <w:t xml:space="preserve">FRONTAL </w:t>
      </w:r>
      <w:r w:rsidRPr="003A5530">
        <w:rPr>
          <w:rFonts w:ascii="Arial" w:hAnsi="Arial" w:cs="Arial"/>
          <w:b/>
          <w:sz w:val="24"/>
          <w:szCs w:val="24"/>
        </w:rPr>
        <w:t>DE ALIMENTOS</w:t>
      </w:r>
      <w:r w:rsidR="007037D4" w:rsidRPr="003A5530">
        <w:rPr>
          <w:rFonts w:ascii="Arial" w:hAnsi="Arial" w:cs="Arial"/>
          <w:b/>
          <w:sz w:val="24"/>
          <w:szCs w:val="24"/>
        </w:rPr>
        <w:t xml:space="preserve"> Y BEBIDAS NO ALCOHÓLICAS</w:t>
      </w:r>
      <w:r w:rsidRPr="003A5530">
        <w:rPr>
          <w:rFonts w:ascii="Arial" w:hAnsi="Arial" w:cs="Arial"/>
          <w:b/>
          <w:sz w:val="24"/>
          <w:szCs w:val="24"/>
        </w:rPr>
        <w:t>, PARA FACILITAR LA COMPRENSIÓN SOBRE EL CONTENIDO DE INGREDIENTES QUE, POR SU CONSUMO EXCESIVO, REPRESENTEN RIESGOS PARA LA SALUD DE LAS PERSONAS</w:t>
      </w:r>
    </w:p>
    <w:p w:rsidR="00064938" w:rsidRPr="003A5530" w:rsidRDefault="00064938" w:rsidP="003A5530">
      <w:pPr>
        <w:spacing w:after="0" w:line="360" w:lineRule="auto"/>
        <w:jc w:val="center"/>
        <w:rPr>
          <w:rFonts w:ascii="Arial" w:hAnsi="Arial" w:cs="Arial"/>
          <w:b/>
          <w:sz w:val="24"/>
          <w:szCs w:val="24"/>
        </w:rPr>
      </w:pPr>
    </w:p>
    <w:p w:rsidR="00A0409D" w:rsidRPr="003A5530" w:rsidRDefault="00A0409D" w:rsidP="003A5530">
      <w:pPr>
        <w:spacing w:after="0" w:line="360" w:lineRule="auto"/>
        <w:jc w:val="center"/>
        <w:rPr>
          <w:rFonts w:ascii="Arial" w:hAnsi="Arial" w:cs="Arial"/>
          <w:sz w:val="24"/>
          <w:szCs w:val="24"/>
        </w:rPr>
      </w:pPr>
    </w:p>
    <w:p w:rsidR="00F4307F" w:rsidRPr="003A5530" w:rsidRDefault="00F4307F" w:rsidP="003A5530">
      <w:pPr>
        <w:spacing w:after="0" w:line="360" w:lineRule="auto"/>
        <w:jc w:val="both"/>
        <w:rPr>
          <w:rFonts w:ascii="Arial" w:hAnsi="Arial" w:cs="Arial"/>
          <w:b/>
          <w:sz w:val="24"/>
          <w:szCs w:val="24"/>
        </w:rPr>
      </w:pPr>
      <w:r w:rsidRPr="003A5530">
        <w:rPr>
          <w:rFonts w:ascii="Arial" w:hAnsi="Arial" w:cs="Arial"/>
          <w:b/>
          <w:sz w:val="24"/>
          <w:szCs w:val="24"/>
        </w:rPr>
        <w:t>Artículo 1.- Objeto</w:t>
      </w:r>
    </w:p>
    <w:p w:rsidR="00F4307F" w:rsidRPr="003A5530" w:rsidRDefault="00F4307F" w:rsidP="003A5530">
      <w:pPr>
        <w:spacing w:after="0" w:line="360" w:lineRule="auto"/>
        <w:jc w:val="both"/>
        <w:rPr>
          <w:rFonts w:ascii="Arial" w:hAnsi="Arial" w:cs="Arial"/>
          <w:b/>
          <w:sz w:val="24"/>
          <w:szCs w:val="24"/>
        </w:rPr>
      </w:pPr>
    </w:p>
    <w:p w:rsidR="007744C8" w:rsidRPr="003A5530" w:rsidRDefault="00833600" w:rsidP="003A5530">
      <w:pPr>
        <w:spacing w:after="0" w:line="360" w:lineRule="auto"/>
        <w:jc w:val="both"/>
        <w:rPr>
          <w:rFonts w:ascii="Arial" w:hAnsi="Arial" w:cs="Arial"/>
          <w:sz w:val="24"/>
          <w:szCs w:val="24"/>
        </w:rPr>
      </w:pPr>
      <w:r w:rsidRPr="003A5530">
        <w:rPr>
          <w:rFonts w:ascii="Arial" w:hAnsi="Arial" w:cs="Arial"/>
          <w:sz w:val="24"/>
          <w:szCs w:val="24"/>
        </w:rPr>
        <w:t>La presente ley tiene por objeto regula</w:t>
      </w:r>
      <w:r w:rsidR="00D92426" w:rsidRPr="003A5530">
        <w:rPr>
          <w:rFonts w:ascii="Arial" w:hAnsi="Arial" w:cs="Arial"/>
          <w:sz w:val="24"/>
          <w:szCs w:val="24"/>
        </w:rPr>
        <w:t xml:space="preserve">r la información nutricional </w:t>
      </w:r>
      <w:r w:rsidRPr="003A5530">
        <w:rPr>
          <w:rFonts w:ascii="Arial" w:hAnsi="Arial" w:cs="Arial"/>
          <w:sz w:val="24"/>
          <w:szCs w:val="24"/>
        </w:rPr>
        <w:t xml:space="preserve"> que debe contener el etiquetado </w:t>
      </w:r>
      <w:r w:rsidR="004F3BB6" w:rsidRPr="003A5530">
        <w:rPr>
          <w:rFonts w:ascii="Arial" w:hAnsi="Arial" w:cs="Arial"/>
          <w:sz w:val="24"/>
          <w:szCs w:val="24"/>
        </w:rPr>
        <w:t xml:space="preserve">frontal </w:t>
      </w:r>
      <w:r w:rsidRPr="003A5530">
        <w:rPr>
          <w:rFonts w:ascii="Arial" w:hAnsi="Arial" w:cs="Arial"/>
          <w:sz w:val="24"/>
          <w:szCs w:val="24"/>
        </w:rPr>
        <w:t>de alimentos</w:t>
      </w:r>
      <w:r w:rsidR="00F4307F" w:rsidRPr="003A5530">
        <w:rPr>
          <w:rFonts w:ascii="Arial" w:hAnsi="Arial" w:cs="Arial"/>
          <w:sz w:val="24"/>
          <w:szCs w:val="24"/>
        </w:rPr>
        <w:t xml:space="preserve"> y bebidas no alcohólicas</w:t>
      </w:r>
      <w:r w:rsidRPr="003A5530">
        <w:rPr>
          <w:rFonts w:ascii="Arial" w:hAnsi="Arial" w:cs="Arial"/>
          <w:sz w:val="24"/>
          <w:szCs w:val="24"/>
        </w:rPr>
        <w:t>, destinados al consumidor final, de fabricación nacional o extranjera, comer</w:t>
      </w:r>
      <w:r w:rsidR="00BA7C62" w:rsidRPr="003A5530">
        <w:rPr>
          <w:rFonts w:ascii="Arial" w:hAnsi="Arial" w:cs="Arial"/>
          <w:sz w:val="24"/>
          <w:szCs w:val="24"/>
        </w:rPr>
        <w:t>cializado</w:t>
      </w:r>
      <w:r w:rsidR="00FE105D" w:rsidRPr="003A5530">
        <w:rPr>
          <w:rFonts w:ascii="Arial" w:hAnsi="Arial" w:cs="Arial"/>
          <w:sz w:val="24"/>
          <w:szCs w:val="24"/>
        </w:rPr>
        <w:t>s</w:t>
      </w:r>
      <w:r w:rsidR="00BA7C62" w:rsidRPr="003A5530">
        <w:rPr>
          <w:rFonts w:ascii="Arial" w:hAnsi="Arial" w:cs="Arial"/>
          <w:sz w:val="24"/>
          <w:szCs w:val="24"/>
        </w:rPr>
        <w:t xml:space="preserve"> en territorio costarricense</w:t>
      </w:r>
      <w:r w:rsidRPr="003A5530">
        <w:rPr>
          <w:rFonts w:ascii="Arial" w:hAnsi="Arial" w:cs="Arial"/>
          <w:sz w:val="24"/>
          <w:szCs w:val="24"/>
        </w:rPr>
        <w:t xml:space="preserve">, así como determinar las características de dicha información, la cual debe advertir de forma sea visible y de fácil comprensión por la población, sobre el contenido de ingredientes que </w:t>
      </w:r>
      <w:r w:rsidR="00363366" w:rsidRPr="003A5530">
        <w:rPr>
          <w:rFonts w:ascii="Arial" w:hAnsi="Arial" w:cs="Arial"/>
          <w:sz w:val="24"/>
          <w:szCs w:val="24"/>
        </w:rPr>
        <w:t>por su consumo excesivo represente</w:t>
      </w:r>
      <w:r w:rsidR="009C6BE4" w:rsidRPr="003A5530">
        <w:rPr>
          <w:rFonts w:ascii="Arial" w:hAnsi="Arial" w:cs="Arial"/>
          <w:sz w:val="24"/>
          <w:szCs w:val="24"/>
        </w:rPr>
        <w:t>n riesgos para la</w:t>
      </w:r>
      <w:r w:rsidRPr="003A5530">
        <w:rPr>
          <w:rFonts w:ascii="Arial" w:hAnsi="Arial" w:cs="Arial"/>
          <w:sz w:val="24"/>
          <w:szCs w:val="24"/>
        </w:rPr>
        <w:t xml:space="preserve"> salud </w:t>
      </w:r>
      <w:r w:rsidR="00363366" w:rsidRPr="003A5530">
        <w:rPr>
          <w:rFonts w:ascii="Arial" w:hAnsi="Arial" w:cs="Arial"/>
          <w:sz w:val="24"/>
          <w:szCs w:val="24"/>
        </w:rPr>
        <w:t xml:space="preserve">de las personas. </w:t>
      </w:r>
    </w:p>
    <w:p w:rsidR="00833600" w:rsidRPr="003A5530" w:rsidRDefault="00833600" w:rsidP="003A5530">
      <w:pPr>
        <w:spacing w:after="0" w:line="360" w:lineRule="auto"/>
        <w:jc w:val="both"/>
        <w:rPr>
          <w:rFonts w:ascii="Arial" w:hAnsi="Arial" w:cs="Arial"/>
          <w:b/>
          <w:sz w:val="24"/>
          <w:szCs w:val="24"/>
        </w:rPr>
      </w:pPr>
    </w:p>
    <w:p w:rsidR="00F4307F" w:rsidRPr="003A5530" w:rsidRDefault="00833600" w:rsidP="003A5530">
      <w:pPr>
        <w:spacing w:after="0" w:line="360" w:lineRule="auto"/>
        <w:jc w:val="both"/>
        <w:rPr>
          <w:rFonts w:ascii="Arial" w:hAnsi="Arial" w:cs="Arial"/>
          <w:sz w:val="24"/>
          <w:szCs w:val="24"/>
        </w:rPr>
      </w:pPr>
      <w:r w:rsidRPr="003A5530">
        <w:rPr>
          <w:rFonts w:ascii="Arial" w:hAnsi="Arial" w:cs="Arial"/>
          <w:b/>
          <w:sz w:val="24"/>
          <w:szCs w:val="24"/>
        </w:rPr>
        <w:t>Artículo 2</w:t>
      </w:r>
      <w:r w:rsidR="001A5960" w:rsidRPr="003A5530">
        <w:rPr>
          <w:rFonts w:ascii="Arial" w:hAnsi="Arial" w:cs="Arial"/>
          <w:b/>
          <w:sz w:val="24"/>
          <w:szCs w:val="24"/>
        </w:rPr>
        <w:t>.-</w:t>
      </w:r>
      <w:r w:rsidR="000D0BEC" w:rsidRPr="003A5530">
        <w:rPr>
          <w:rFonts w:ascii="Arial" w:hAnsi="Arial" w:cs="Arial"/>
          <w:sz w:val="24"/>
          <w:szCs w:val="24"/>
        </w:rPr>
        <w:t xml:space="preserve"> </w:t>
      </w:r>
      <w:r w:rsidR="00F4307F" w:rsidRPr="003A5530">
        <w:rPr>
          <w:rFonts w:ascii="Arial" w:hAnsi="Arial" w:cs="Arial"/>
          <w:sz w:val="24"/>
          <w:szCs w:val="24"/>
        </w:rPr>
        <w:t xml:space="preserve"> </w:t>
      </w:r>
      <w:r w:rsidR="00F4307F" w:rsidRPr="003A5530">
        <w:rPr>
          <w:rFonts w:ascii="Arial" w:hAnsi="Arial" w:cs="Arial"/>
          <w:b/>
          <w:sz w:val="24"/>
          <w:szCs w:val="24"/>
        </w:rPr>
        <w:t>Etiquetado de alimentos y bebidas no alcohólicas</w:t>
      </w:r>
    </w:p>
    <w:p w:rsidR="00F4307F" w:rsidRPr="003A5530" w:rsidRDefault="00F4307F" w:rsidP="003A5530">
      <w:pPr>
        <w:spacing w:after="0" w:line="360" w:lineRule="auto"/>
        <w:jc w:val="both"/>
        <w:rPr>
          <w:rFonts w:ascii="Arial" w:hAnsi="Arial" w:cs="Arial"/>
          <w:sz w:val="24"/>
          <w:szCs w:val="24"/>
        </w:rPr>
      </w:pPr>
    </w:p>
    <w:p w:rsidR="000D0BEC" w:rsidRPr="003A5530" w:rsidRDefault="000D0BEC" w:rsidP="003A5530">
      <w:pPr>
        <w:spacing w:after="0" w:line="360" w:lineRule="auto"/>
        <w:jc w:val="both"/>
        <w:rPr>
          <w:rFonts w:ascii="Arial" w:hAnsi="Arial" w:cs="Arial"/>
          <w:sz w:val="24"/>
          <w:szCs w:val="24"/>
        </w:rPr>
      </w:pPr>
      <w:r w:rsidRPr="003A5530">
        <w:rPr>
          <w:rFonts w:ascii="Arial" w:hAnsi="Arial" w:cs="Arial"/>
          <w:sz w:val="24"/>
          <w:szCs w:val="24"/>
        </w:rPr>
        <w:t xml:space="preserve">Los fabricantes, productores, </w:t>
      </w:r>
      <w:r w:rsidR="001A5960" w:rsidRPr="003A5530">
        <w:rPr>
          <w:rFonts w:ascii="Arial" w:hAnsi="Arial" w:cs="Arial"/>
          <w:sz w:val="24"/>
          <w:szCs w:val="24"/>
        </w:rPr>
        <w:t>distribuidores e importadore</w:t>
      </w:r>
      <w:r w:rsidRPr="003A5530">
        <w:rPr>
          <w:rFonts w:ascii="Arial" w:hAnsi="Arial" w:cs="Arial"/>
          <w:sz w:val="24"/>
          <w:szCs w:val="24"/>
        </w:rPr>
        <w:t xml:space="preserve">s de alimentos </w:t>
      </w:r>
      <w:r w:rsidR="00F4307F" w:rsidRPr="003A5530">
        <w:rPr>
          <w:rFonts w:ascii="Arial" w:hAnsi="Arial" w:cs="Arial"/>
          <w:sz w:val="24"/>
          <w:szCs w:val="24"/>
        </w:rPr>
        <w:t xml:space="preserve">y bebidas no alcohólicas </w:t>
      </w:r>
      <w:r w:rsidRPr="003A5530">
        <w:rPr>
          <w:rFonts w:ascii="Arial" w:hAnsi="Arial" w:cs="Arial"/>
          <w:sz w:val="24"/>
          <w:szCs w:val="24"/>
        </w:rPr>
        <w:t xml:space="preserve">deberán informar </w:t>
      </w:r>
      <w:r w:rsidR="001A5960" w:rsidRPr="003A5530">
        <w:rPr>
          <w:rFonts w:ascii="Arial" w:hAnsi="Arial" w:cs="Arial"/>
          <w:sz w:val="24"/>
          <w:szCs w:val="24"/>
        </w:rPr>
        <w:t xml:space="preserve">en sus envases o etiquetas </w:t>
      </w:r>
      <w:r w:rsidRPr="003A5530">
        <w:rPr>
          <w:rFonts w:ascii="Arial" w:hAnsi="Arial" w:cs="Arial"/>
          <w:sz w:val="24"/>
          <w:szCs w:val="24"/>
        </w:rPr>
        <w:t xml:space="preserve">los ingredientes que contienen, </w:t>
      </w:r>
      <w:r w:rsidR="001A5960" w:rsidRPr="003A5530">
        <w:rPr>
          <w:rFonts w:ascii="Arial" w:hAnsi="Arial" w:cs="Arial"/>
          <w:sz w:val="24"/>
          <w:szCs w:val="24"/>
        </w:rPr>
        <w:t>incluyendo todos s</w:t>
      </w:r>
      <w:r w:rsidRPr="003A5530">
        <w:rPr>
          <w:rFonts w:ascii="Arial" w:hAnsi="Arial" w:cs="Arial"/>
          <w:sz w:val="24"/>
          <w:szCs w:val="24"/>
        </w:rPr>
        <w:t>us aditivos</w:t>
      </w:r>
      <w:r w:rsidR="00A0409D" w:rsidRPr="003A5530">
        <w:rPr>
          <w:rFonts w:ascii="Arial" w:hAnsi="Arial" w:cs="Arial"/>
          <w:sz w:val="24"/>
          <w:szCs w:val="24"/>
        </w:rPr>
        <w:t xml:space="preserve"> y preservantes</w:t>
      </w:r>
      <w:r w:rsidRPr="003A5530">
        <w:rPr>
          <w:rFonts w:ascii="Arial" w:hAnsi="Arial" w:cs="Arial"/>
          <w:sz w:val="24"/>
          <w:szCs w:val="24"/>
        </w:rPr>
        <w:t xml:space="preserve"> expresados en orden </w:t>
      </w:r>
      <w:r w:rsidR="001A5960" w:rsidRPr="003A5530">
        <w:rPr>
          <w:rFonts w:ascii="Arial" w:hAnsi="Arial" w:cs="Arial"/>
          <w:sz w:val="24"/>
          <w:szCs w:val="24"/>
        </w:rPr>
        <w:t>decreciente de proporciones</w:t>
      </w:r>
      <w:r w:rsidRPr="003A5530">
        <w:rPr>
          <w:rFonts w:ascii="Arial" w:hAnsi="Arial" w:cs="Arial"/>
          <w:sz w:val="24"/>
          <w:szCs w:val="24"/>
        </w:rPr>
        <w:t xml:space="preserve">, </w:t>
      </w:r>
      <w:r w:rsidR="00A0409D" w:rsidRPr="003A5530">
        <w:rPr>
          <w:rFonts w:ascii="Arial" w:hAnsi="Arial" w:cs="Arial"/>
          <w:sz w:val="24"/>
          <w:szCs w:val="24"/>
        </w:rPr>
        <w:t xml:space="preserve">así como la </w:t>
      </w:r>
      <w:r w:rsidRPr="003A5530">
        <w:rPr>
          <w:rFonts w:ascii="Arial" w:hAnsi="Arial" w:cs="Arial"/>
          <w:sz w:val="24"/>
          <w:szCs w:val="24"/>
        </w:rPr>
        <w:t xml:space="preserve">información nutricional, </w:t>
      </w:r>
      <w:r w:rsidR="001A5960" w:rsidRPr="003A5530">
        <w:rPr>
          <w:rFonts w:ascii="Arial" w:hAnsi="Arial" w:cs="Arial"/>
          <w:sz w:val="24"/>
          <w:szCs w:val="24"/>
        </w:rPr>
        <w:t>expresada en composición po</w:t>
      </w:r>
      <w:r w:rsidRPr="003A5530">
        <w:rPr>
          <w:rFonts w:ascii="Arial" w:hAnsi="Arial" w:cs="Arial"/>
          <w:sz w:val="24"/>
          <w:szCs w:val="24"/>
        </w:rPr>
        <w:t>rcentual, unidad de peso o</w:t>
      </w:r>
      <w:r w:rsidR="005F4245" w:rsidRPr="003A5530">
        <w:rPr>
          <w:rFonts w:ascii="Arial" w:hAnsi="Arial" w:cs="Arial"/>
          <w:sz w:val="24"/>
          <w:szCs w:val="24"/>
        </w:rPr>
        <w:t>,</w:t>
      </w:r>
      <w:r w:rsidRPr="003A5530">
        <w:rPr>
          <w:rFonts w:ascii="Arial" w:hAnsi="Arial" w:cs="Arial"/>
          <w:sz w:val="24"/>
          <w:szCs w:val="24"/>
        </w:rPr>
        <w:t xml:space="preserve"> bajo </w:t>
      </w:r>
      <w:r w:rsidR="00A0409D" w:rsidRPr="003A5530">
        <w:rPr>
          <w:rFonts w:ascii="Arial" w:hAnsi="Arial" w:cs="Arial"/>
          <w:sz w:val="24"/>
          <w:szCs w:val="24"/>
        </w:rPr>
        <w:t xml:space="preserve">la nomenclatura </w:t>
      </w:r>
      <w:r w:rsidR="001268EA" w:rsidRPr="003A5530">
        <w:rPr>
          <w:rFonts w:ascii="Arial" w:hAnsi="Arial" w:cs="Arial"/>
          <w:sz w:val="24"/>
          <w:szCs w:val="24"/>
        </w:rPr>
        <w:t xml:space="preserve">dispuesta por </w:t>
      </w:r>
      <w:r w:rsidR="00A0409D" w:rsidRPr="003A5530">
        <w:rPr>
          <w:rFonts w:ascii="Arial" w:hAnsi="Arial" w:cs="Arial"/>
          <w:sz w:val="24"/>
          <w:szCs w:val="24"/>
        </w:rPr>
        <w:t xml:space="preserve">el Ministerio de Salud. </w:t>
      </w:r>
      <w:r w:rsidR="001A5960" w:rsidRPr="003A5530">
        <w:rPr>
          <w:rFonts w:ascii="Arial" w:hAnsi="Arial" w:cs="Arial"/>
          <w:sz w:val="24"/>
          <w:szCs w:val="24"/>
        </w:rPr>
        <w:t xml:space="preserve"> </w:t>
      </w:r>
    </w:p>
    <w:p w:rsidR="00A0409D" w:rsidRPr="003A5530" w:rsidRDefault="00A0409D" w:rsidP="003A5530">
      <w:pPr>
        <w:spacing w:after="0" w:line="360" w:lineRule="auto"/>
        <w:jc w:val="both"/>
        <w:rPr>
          <w:rFonts w:ascii="Arial" w:hAnsi="Arial" w:cs="Arial"/>
          <w:sz w:val="24"/>
          <w:szCs w:val="24"/>
        </w:rPr>
      </w:pPr>
    </w:p>
    <w:p w:rsidR="001A5960" w:rsidRPr="003A5530" w:rsidRDefault="00A0409D" w:rsidP="003A5530">
      <w:pPr>
        <w:spacing w:after="0" w:line="360" w:lineRule="auto"/>
        <w:jc w:val="both"/>
        <w:rPr>
          <w:rFonts w:ascii="Arial" w:hAnsi="Arial" w:cs="Arial"/>
          <w:sz w:val="24"/>
          <w:szCs w:val="24"/>
        </w:rPr>
      </w:pPr>
      <w:r w:rsidRPr="003A5530">
        <w:rPr>
          <w:rFonts w:ascii="Arial" w:hAnsi="Arial" w:cs="Arial"/>
          <w:sz w:val="24"/>
          <w:szCs w:val="24"/>
        </w:rPr>
        <w:t>E</w:t>
      </w:r>
      <w:r w:rsidR="001A5960" w:rsidRPr="003A5530">
        <w:rPr>
          <w:rFonts w:ascii="Arial" w:hAnsi="Arial" w:cs="Arial"/>
          <w:sz w:val="24"/>
          <w:szCs w:val="24"/>
        </w:rPr>
        <w:t>l Ministerio d</w:t>
      </w:r>
      <w:r w:rsidR="000D0BEC" w:rsidRPr="003A5530">
        <w:rPr>
          <w:rFonts w:ascii="Arial" w:hAnsi="Arial" w:cs="Arial"/>
          <w:sz w:val="24"/>
          <w:szCs w:val="24"/>
        </w:rPr>
        <w:t xml:space="preserve">e Salud, </w:t>
      </w:r>
      <w:r w:rsidR="005F4245" w:rsidRPr="003A5530">
        <w:rPr>
          <w:rFonts w:ascii="Arial" w:hAnsi="Arial" w:cs="Arial"/>
          <w:sz w:val="24"/>
          <w:szCs w:val="24"/>
        </w:rPr>
        <w:t>determinará</w:t>
      </w:r>
      <w:r w:rsidR="000D0BEC" w:rsidRPr="003A5530">
        <w:rPr>
          <w:rFonts w:ascii="Arial" w:hAnsi="Arial" w:cs="Arial"/>
          <w:sz w:val="24"/>
          <w:szCs w:val="24"/>
        </w:rPr>
        <w:t xml:space="preserve"> la </w:t>
      </w:r>
      <w:r w:rsidR="001A5960" w:rsidRPr="003A5530">
        <w:rPr>
          <w:rFonts w:ascii="Arial" w:hAnsi="Arial" w:cs="Arial"/>
          <w:sz w:val="24"/>
          <w:szCs w:val="24"/>
        </w:rPr>
        <w:t>forma, tamaño, colores</w:t>
      </w:r>
      <w:r w:rsidRPr="003A5530">
        <w:rPr>
          <w:rFonts w:ascii="Arial" w:hAnsi="Arial" w:cs="Arial"/>
          <w:sz w:val="24"/>
          <w:szCs w:val="24"/>
        </w:rPr>
        <w:t xml:space="preserve">, proporción, características y </w:t>
      </w:r>
      <w:r w:rsidR="001A5960" w:rsidRPr="003A5530">
        <w:rPr>
          <w:rFonts w:ascii="Arial" w:hAnsi="Arial" w:cs="Arial"/>
          <w:sz w:val="24"/>
          <w:szCs w:val="24"/>
        </w:rPr>
        <w:t>contenido de las etiquetas</w:t>
      </w:r>
      <w:r w:rsidR="000D0BEC" w:rsidRPr="003A5530">
        <w:rPr>
          <w:rFonts w:ascii="Arial" w:hAnsi="Arial" w:cs="Arial"/>
          <w:sz w:val="24"/>
          <w:szCs w:val="24"/>
        </w:rPr>
        <w:t xml:space="preserve"> y rótulos nutricionales de los </w:t>
      </w:r>
      <w:r w:rsidR="001A5960" w:rsidRPr="003A5530">
        <w:rPr>
          <w:rFonts w:ascii="Arial" w:hAnsi="Arial" w:cs="Arial"/>
          <w:sz w:val="24"/>
          <w:szCs w:val="24"/>
        </w:rPr>
        <w:t xml:space="preserve">alimentos, </w:t>
      </w:r>
      <w:r w:rsidR="001A5960" w:rsidRPr="003A5530">
        <w:rPr>
          <w:rFonts w:ascii="Arial" w:hAnsi="Arial" w:cs="Arial"/>
          <w:sz w:val="24"/>
          <w:szCs w:val="24"/>
        </w:rPr>
        <w:lastRenderedPageBreak/>
        <w:t xml:space="preserve">velando especialmente </w:t>
      </w:r>
      <w:r w:rsidR="000D0BEC" w:rsidRPr="003A5530">
        <w:rPr>
          <w:rFonts w:ascii="Arial" w:hAnsi="Arial" w:cs="Arial"/>
          <w:sz w:val="24"/>
          <w:szCs w:val="24"/>
        </w:rPr>
        <w:t xml:space="preserve">porque la información que </w:t>
      </w:r>
      <w:r w:rsidR="001A5960" w:rsidRPr="003A5530">
        <w:rPr>
          <w:rFonts w:ascii="Arial" w:hAnsi="Arial" w:cs="Arial"/>
          <w:sz w:val="24"/>
          <w:szCs w:val="24"/>
        </w:rPr>
        <w:t>en ellos se contenga sea</w:t>
      </w:r>
      <w:r w:rsidR="000D0BEC" w:rsidRPr="003A5530">
        <w:rPr>
          <w:rFonts w:ascii="Arial" w:hAnsi="Arial" w:cs="Arial"/>
          <w:sz w:val="24"/>
          <w:szCs w:val="24"/>
        </w:rPr>
        <w:t xml:space="preserve"> visible y de fácil comprensión </w:t>
      </w:r>
      <w:r w:rsidR="001A5960" w:rsidRPr="003A5530">
        <w:rPr>
          <w:rFonts w:ascii="Arial" w:hAnsi="Arial" w:cs="Arial"/>
          <w:sz w:val="24"/>
          <w:szCs w:val="24"/>
        </w:rPr>
        <w:t>por la población.</w:t>
      </w:r>
    </w:p>
    <w:p w:rsidR="000D0BEC" w:rsidRPr="003A5530" w:rsidRDefault="000D0BEC" w:rsidP="003A5530">
      <w:pPr>
        <w:spacing w:after="0" w:line="360" w:lineRule="auto"/>
        <w:jc w:val="both"/>
        <w:rPr>
          <w:rFonts w:ascii="Arial" w:hAnsi="Arial" w:cs="Arial"/>
          <w:sz w:val="24"/>
          <w:szCs w:val="24"/>
        </w:rPr>
      </w:pPr>
    </w:p>
    <w:p w:rsidR="000F35EE"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El etiquetado deberá contemplar, al me</w:t>
      </w:r>
      <w:r w:rsidR="000D0BEC" w:rsidRPr="003A5530">
        <w:rPr>
          <w:rFonts w:ascii="Arial" w:hAnsi="Arial" w:cs="Arial"/>
          <w:sz w:val="24"/>
          <w:szCs w:val="24"/>
        </w:rPr>
        <w:t>nos, los contenidos de</w:t>
      </w:r>
      <w:r w:rsidR="00A0409D" w:rsidRPr="003A5530">
        <w:rPr>
          <w:rFonts w:ascii="Arial" w:hAnsi="Arial" w:cs="Arial"/>
          <w:sz w:val="24"/>
          <w:szCs w:val="24"/>
        </w:rPr>
        <w:t xml:space="preserve"> calorías</w:t>
      </w:r>
      <w:r w:rsidR="000D0BEC" w:rsidRPr="003A5530">
        <w:rPr>
          <w:rFonts w:ascii="Arial" w:hAnsi="Arial" w:cs="Arial"/>
          <w:sz w:val="24"/>
          <w:szCs w:val="24"/>
        </w:rPr>
        <w:t xml:space="preserve">, </w:t>
      </w:r>
      <w:r w:rsidR="00A0409D" w:rsidRPr="003A5530">
        <w:rPr>
          <w:rFonts w:ascii="Arial" w:hAnsi="Arial" w:cs="Arial"/>
          <w:sz w:val="24"/>
          <w:szCs w:val="24"/>
        </w:rPr>
        <w:t xml:space="preserve">azúcares, sodio y </w:t>
      </w:r>
      <w:r w:rsidRPr="003A5530">
        <w:rPr>
          <w:rFonts w:ascii="Arial" w:hAnsi="Arial" w:cs="Arial"/>
          <w:sz w:val="24"/>
          <w:szCs w:val="24"/>
        </w:rPr>
        <w:t>grasas saturada</w:t>
      </w:r>
      <w:r w:rsidR="00E10B04" w:rsidRPr="003A5530">
        <w:rPr>
          <w:rFonts w:ascii="Arial" w:hAnsi="Arial" w:cs="Arial"/>
          <w:sz w:val="24"/>
          <w:szCs w:val="24"/>
        </w:rPr>
        <w:t xml:space="preserve">s en el área frontal de los productos. </w:t>
      </w:r>
    </w:p>
    <w:p w:rsidR="004F3BB6" w:rsidRPr="003A5530" w:rsidRDefault="004F3BB6" w:rsidP="003A5530">
      <w:pPr>
        <w:spacing w:after="0" w:line="360" w:lineRule="auto"/>
        <w:jc w:val="both"/>
        <w:rPr>
          <w:rFonts w:ascii="Arial" w:hAnsi="Arial" w:cs="Arial"/>
          <w:sz w:val="24"/>
          <w:szCs w:val="24"/>
        </w:rPr>
      </w:pPr>
    </w:p>
    <w:p w:rsidR="00F4307F" w:rsidRPr="003A5530" w:rsidRDefault="00833600" w:rsidP="003A5530">
      <w:pPr>
        <w:spacing w:after="0" w:line="360" w:lineRule="auto"/>
        <w:jc w:val="both"/>
        <w:rPr>
          <w:rFonts w:ascii="Arial" w:hAnsi="Arial" w:cs="Arial"/>
          <w:b/>
          <w:sz w:val="24"/>
          <w:szCs w:val="24"/>
        </w:rPr>
      </w:pPr>
      <w:r w:rsidRPr="003A5530">
        <w:rPr>
          <w:rFonts w:ascii="Arial" w:hAnsi="Arial" w:cs="Arial"/>
          <w:b/>
          <w:sz w:val="24"/>
          <w:szCs w:val="24"/>
        </w:rPr>
        <w:t>Artículo 3</w:t>
      </w:r>
      <w:r w:rsidR="001A5960" w:rsidRPr="003A5530">
        <w:rPr>
          <w:rFonts w:ascii="Arial" w:hAnsi="Arial" w:cs="Arial"/>
          <w:b/>
          <w:sz w:val="24"/>
          <w:szCs w:val="24"/>
        </w:rPr>
        <w:t>.-</w:t>
      </w:r>
      <w:r w:rsidR="00F4307F" w:rsidRPr="003A5530">
        <w:rPr>
          <w:rFonts w:ascii="Arial" w:hAnsi="Arial" w:cs="Arial"/>
          <w:b/>
          <w:sz w:val="24"/>
          <w:szCs w:val="24"/>
        </w:rPr>
        <w:t>Prohibiciones en aditamentos y etiquetado</w:t>
      </w:r>
    </w:p>
    <w:p w:rsidR="00F4307F" w:rsidRPr="003A5530" w:rsidRDefault="00F4307F" w:rsidP="003A5530">
      <w:pPr>
        <w:spacing w:after="0" w:line="360" w:lineRule="auto"/>
        <w:jc w:val="both"/>
        <w:rPr>
          <w:rFonts w:ascii="Arial" w:hAnsi="Arial" w:cs="Arial"/>
          <w:sz w:val="24"/>
          <w:szCs w:val="24"/>
        </w:rPr>
      </w:pPr>
    </w:p>
    <w:p w:rsidR="008263AE"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No se podrá adicionar a los alimentos y comidas preparadas ing</w:t>
      </w:r>
      <w:r w:rsidR="000D0BEC" w:rsidRPr="003A5530">
        <w:rPr>
          <w:rFonts w:ascii="Arial" w:hAnsi="Arial" w:cs="Arial"/>
          <w:sz w:val="24"/>
          <w:szCs w:val="24"/>
        </w:rPr>
        <w:t xml:space="preserve">redientes o aditivos que </w:t>
      </w:r>
      <w:r w:rsidR="00972A29" w:rsidRPr="003A5530">
        <w:rPr>
          <w:rFonts w:ascii="Arial" w:hAnsi="Arial" w:cs="Arial"/>
          <w:sz w:val="24"/>
          <w:szCs w:val="24"/>
        </w:rPr>
        <w:t xml:space="preserve">en exceso </w:t>
      </w:r>
      <w:r w:rsidR="000D0BEC" w:rsidRPr="003A5530">
        <w:rPr>
          <w:rFonts w:ascii="Arial" w:hAnsi="Arial" w:cs="Arial"/>
          <w:sz w:val="24"/>
          <w:szCs w:val="24"/>
        </w:rPr>
        <w:t xml:space="preserve">puedan </w:t>
      </w:r>
      <w:r w:rsidR="000F35EE" w:rsidRPr="003A5530">
        <w:rPr>
          <w:rFonts w:ascii="Arial" w:hAnsi="Arial" w:cs="Arial"/>
          <w:sz w:val="24"/>
          <w:szCs w:val="24"/>
        </w:rPr>
        <w:t xml:space="preserve">provocar </w:t>
      </w:r>
      <w:r w:rsidR="00363366" w:rsidRPr="003A5530">
        <w:rPr>
          <w:rFonts w:ascii="Arial" w:hAnsi="Arial" w:cs="Arial"/>
          <w:sz w:val="24"/>
          <w:szCs w:val="24"/>
        </w:rPr>
        <w:t xml:space="preserve">daños a la salud. Así como hacer uso de </w:t>
      </w:r>
      <w:r w:rsidRPr="003A5530">
        <w:rPr>
          <w:rFonts w:ascii="Arial" w:hAnsi="Arial" w:cs="Arial"/>
          <w:sz w:val="24"/>
          <w:szCs w:val="24"/>
        </w:rPr>
        <w:t>engaños o</w:t>
      </w:r>
      <w:r w:rsidR="00A44882" w:rsidRPr="003A5530">
        <w:rPr>
          <w:rFonts w:ascii="Arial" w:hAnsi="Arial" w:cs="Arial"/>
          <w:sz w:val="24"/>
          <w:szCs w:val="24"/>
        </w:rPr>
        <w:t xml:space="preserve"> </w:t>
      </w:r>
      <w:r w:rsidRPr="003A5530">
        <w:rPr>
          <w:rFonts w:ascii="Arial" w:hAnsi="Arial" w:cs="Arial"/>
          <w:sz w:val="24"/>
          <w:szCs w:val="24"/>
        </w:rPr>
        <w:t xml:space="preserve">falsedades, que de alguna forma </w:t>
      </w:r>
      <w:r w:rsidR="000F35EE" w:rsidRPr="003A5530">
        <w:rPr>
          <w:rFonts w:ascii="Arial" w:hAnsi="Arial" w:cs="Arial"/>
          <w:sz w:val="24"/>
          <w:szCs w:val="24"/>
        </w:rPr>
        <w:t xml:space="preserve">confundan a los consumidores </w:t>
      </w:r>
      <w:r w:rsidRPr="003A5530">
        <w:rPr>
          <w:rFonts w:ascii="Arial" w:hAnsi="Arial" w:cs="Arial"/>
          <w:sz w:val="24"/>
          <w:szCs w:val="24"/>
        </w:rPr>
        <w:t>resp</w:t>
      </w:r>
      <w:r w:rsidR="00A44882" w:rsidRPr="003A5530">
        <w:rPr>
          <w:rFonts w:ascii="Arial" w:hAnsi="Arial" w:cs="Arial"/>
          <w:sz w:val="24"/>
          <w:szCs w:val="24"/>
        </w:rPr>
        <w:t>ecto a la verdadera naturaleza</w:t>
      </w:r>
      <w:r w:rsidR="000F35EE" w:rsidRPr="003A5530">
        <w:rPr>
          <w:rFonts w:ascii="Arial" w:hAnsi="Arial" w:cs="Arial"/>
          <w:sz w:val="24"/>
          <w:szCs w:val="24"/>
        </w:rPr>
        <w:t xml:space="preserve"> y valor nutricional de los alimentos. </w:t>
      </w:r>
    </w:p>
    <w:p w:rsidR="008263AE" w:rsidRPr="003A5530" w:rsidRDefault="008263AE" w:rsidP="003A5530">
      <w:pPr>
        <w:spacing w:after="0" w:line="360" w:lineRule="auto"/>
        <w:jc w:val="both"/>
        <w:rPr>
          <w:rFonts w:ascii="Arial" w:hAnsi="Arial" w:cs="Arial"/>
          <w:sz w:val="24"/>
          <w:szCs w:val="24"/>
        </w:rPr>
      </w:pPr>
    </w:p>
    <w:p w:rsidR="00A44882" w:rsidRPr="003A5530" w:rsidRDefault="008263AE" w:rsidP="003A5530">
      <w:pPr>
        <w:spacing w:after="0" w:line="360" w:lineRule="auto"/>
        <w:jc w:val="both"/>
        <w:rPr>
          <w:rFonts w:ascii="Arial" w:hAnsi="Arial" w:cs="Arial"/>
          <w:sz w:val="24"/>
          <w:szCs w:val="24"/>
        </w:rPr>
      </w:pPr>
      <w:r w:rsidRPr="003A5530">
        <w:rPr>
          <w:rFonts w:ascii="Arial" w:hAnsi="Arial" w:cs="Arial"/>
          <w:sz w:val="24"/>
          <w:szCs w:val="24"/>
        </w:rPr>
        <w:t>El etiquetado de los productos sustitutos de la leche materna no deberá desincentivar la lactancia natural. Asimismo, indicará que el uso de estos sustitutos debe contar con el asesoramiento de profesionales en ciencias de la salud.</w:t>
      </w:r>
    </w:p>
    <w:p w:rsidR="000F35EE" w:rsidRPr="003A5530" w:rsidRDefault="000F35EE" w:rsidP="003A5530">
      <w:pPr>
        <w:spacing w:after="0" w:line="360" w:lineRule="auto"/>
        <w:jc w:val="both"/>
        <w:rPr>
          <w:rFonts w:ascii="Arial" w:hAnsi="Arial" w:cs="Arial"/>
          <w:sz w:val="24"/>
          <w:szCs w:val="24"/>
        </w:rPr>
      </w:pPr>
    </w:p>
    <w:p w:rsidR="00F4307F" w:rsidRPr="003A5530" w:rsidRDefault="00833600" w:rsidP="003A5530">
      <w:pPr>
        <w:spacing w:after="0" w:line="360" w:lineRule="auto"/>
        <w:jc w:val="both"/>
        <w:rPr>
          <w:rFonts w:ascii="Arial" w:hAnsi="Arial" w:cs="Arial"/>
          <w:b/>
          <w:sz w:val="24"/>
          <w:szCs w:val="24"/>
        </w:rPr>
      </w:pPr>
      <w:r w:rsidRPr="003A5530">
        <w:rPr>
          <w:rFonts w:ascii="Arial" w:hAnsi="Arial" w:cs="Arial"/>
          <w:b/>
          <w:sz w:val="24"/>
          <w:szCs w:val="24"/>
        </w:rPr>
        <w:t>Artículo 4</w:t>
      </w:r>
      <w:r w:rsidR="001A5960" w:rsidRPr="003A5530">
        <w:rPr>
          <w:rFonts w:ascii="Arial" w:hAnsi="Arial" w:cs="Arial"/>
          <w:b/>
          <w:sz w:val="24"/>
          <w:szCs w:val="24"/>
        </w:rPr>
        <w:t>.-</w:t>
      </w:r>
      <w:r w:rsidR="00F4307F" w:rsidRPr="003A5530">
        <w:rPr>
          <w:rFonts w:ascii="Arial" w:hAnsi="Arial" w:cs="Arial"/>
          <w:b/>
          <w:sz w:val="24"/>
          <w:szCs w:val="24"/>
        </w:rPr>
        <w:t xml:space="preserve"> Promoción de hábitos de alimentación saludable </w:t>
      </w:r>
    </w:p>
    <w:p w:rsidR="00F4307F" w:rsidRPr="003A5530" w:rsidRDefault="00F4307F" w:rsidP="003A5530">
      <w:pPr>
        <w:spacing w:after="0" w:line="360" w:lineRule="auto"/>
        <w:jc w:val="both"/>
        <w:rPr>
          <w:rFonts w:ascii="Arial" w:hAnsi="Arial" w:cs="Arial"/>
          <w:b/>
          <w:sz w:val="24"/>
          <w:szCs w:val="24"/>
        </w:rPr>
      </w:pPr>
    </w:p>
    <w:p w:rsidR="000F35EE"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 xml:space="preserve"> </w:t>
      </w:r>
      <w:r w:rsidR="000F35EE" w:rsidRPr="003A5530">
        <w:rPr>
          <w:rFonts w:ascii="Arial" w:hAnsi="Arial" w:cs="Arial"/>
          <w:sz w:val="24"/>
          <w:szCs w:val="24"/>
        </w:rPr>
        <w:t xml:space="preserve">El Ministerio de Educación Pública deberá promover en los niveles de educación preescolar, primaria y secundaria, </w:t>
      </w:r>
      <w:r w:rsidR="00A44882" w:rsidRPr="003A5530">
        <w:rPr>
          <w:rFonts w:ascii="Arial" w:hAnsi="Arial" w:cs="Arial"/>
          <w:sz w:val="24"/>
          <w:szCs w:val="24"/>
        </w:rPr>
        <w:t xml:space="preserve">actividades que contribuyan a desarrollar </w:t>
      </w:r>
      <w:r w:rsidRPr="003A5530">
        <w:rPr>
          <w:rFonts w:ascii="Arial" w:hAnsi="Arial" w:cs="Arial"/>
          <w:sz w:val="24"/>
          <w:szCs w:val="24"/>
        </w:rPr>
        <w:t xml:space="preserve">hábitos </w:t>
      </w:r>
      <w:r w:rsidR="000F35EE" w:rsidRPr="003A5530">
        <w:rPr>
          <w:rFonts w:ascii="Arial" w:hAnsi="Arial" w:cs="Arial"/>
          <w:sz w:val="24"/>
          <w:szCs w:val="24"/>
        </w:rPr>
        <w:t xml:space="preserve">para </w:t>
      </w:r>
      <w:r w:rsidRPr="003A5530">
        <w:rPr>
          <w:rFonts w:ascii="Arial" w:hAnsi="Arial" w:cs="Arial"/>
          <w:sz w:val="24"/>
          <w:szCs w:val="24"/>
        </w:rPr>
        <w:t>una alimentac</w:t>
      </w:r>
      <w:r w:rsidR="00A44882" w:rsidRPr="003A5530">
        <w:rPr>
          <w:rFonts w:ascii="Arial" w:hAnsi="Arial" w:cs="Arial"/>
          <w:sz w:val="24"/>
          <w:szCs w:val="24"/>
        </w:rPr>
        <w:t xml:space="preserve">ión saludable y adviertan sobre </w:t>
      </w:r>
      <w:r w:rsidRPr="003A5530">
        <w:rPr>
          <w:rFonts w:ascii="Arial" w:hAnsi="Arial" w:cs="Arial"/>
          <w:sz w:val="24"/>
          <w:szCs w:val="24"/>
        </w:rPr>
        <w:t xml:space="preserve">los efectos nocivos </w:t>
      </w:r>
      <w:r w:rsidR="000F35EE" w:rsidRPr="003A5530">
        <w:rPr>
          <w:rFonts w:ascii="Arial" w:hAnsi="Arial" w:cs="Arial"/>
          <w:sz w:val="24"/>
          <w:szCs w:val="24"/>
        </w:rPr>
        <w:t xml:space="preserve">para la salud </w:t>
      </w:r>
      <w:r w:rsidR="000E1512" w:rsidRPr="003A5530">
        <w:rPr>
          <w:rFonts w:ascii="Arial" w:hAnsi="Arial" w:cs="Arial"/>
          <w:sz w:val="24"/>
          <w:szCs w:val="24"/>
        </w:rPr>
        <w:t xml:space="preserve">humana </w:t>
      </w:r>
      <w:r w:rsidRPr="003A5530">
        <w:rPr>
          <w:rFonts w:ascii="Arial" w:hAnsi="Arial" w:cs="Arial"/>
          <w:sz w:val="24"/>
          <w:szCs w:val="24"/>
        </w:rPr>
        <w:t>de una d</w:t>
      </w:r>
      <w:r w:rsidR="00A44882" w:rsidRPr="003A5530">
        <w:rPr>
          <w:rFonts w:ascii="Arial" w:hAnsi="Arial" w:cs="Arial"/>
          <w:sz w:val="24"/>
          <w:szCs w:val="24"/>
        </w:rPr>
        <w:t xml:space="preserve">ieta excesiva en </w:t>
      </w:r>
      <w:r w:rsidR="000F35EE" w:rsidRPr="003A5530">
        <w:rPr>
          <w:rFonts w:ascii="Arial" w:hAnsi="Arial" w:cs="Arial"/>
          <w:sz w:val="24"/>
          <w:szCs w:val="24"/>
        </w:rPr>
        <w:t xml:space="preserve">calorías, </w:t>
      </w:r>
      <w:r w:rsidR="00A44882" w:rsidRPr="003A5530">
        <w:rPr>
          <w:rFonts w:ascii="Arial" w:hAnsi="Arial" w:cs="Arial"/>
          <w:sz w:val="24"/>
          <w:szCs w:val="24"/>
        </w:rPr>
        <w:t xml:space="preserve">grasas </w:t>
      </w:r>
      <w:r w:rsidRPr="003A5530">
        <w:rPr>
          <w:rFonts w:ascii="Arial" w:hAnsi="Arial" w:cs="Arial"/>
          <w:sz w:val="24"/>
          <w:szCs w:val="24"/>
        </w:rPr>
        <w:t>saturadas, azúcares, sodio y otros nutrien</w:t>
      </w:r>
      <w:r w:rsidR="00A44882" w:rsidRPr="003A5530">
        <w:rPr>
          <w:rFonts w:ascii="Arial" w:hAnsi="Arial" w:cs="Arial"/>
          <w:sz w:val="24"/>
          <w:szCs w:val="24"/>
        </w:rPr>
        <w:t>tes</w:t>
      </w:r>
      <w:r w:rsidRPr="003A5530">
        <w:rPr>
          <w:rFonts w:ascii="Arial" w:hAnsi="Arial" w:cs="Arial"/>
          <w:sz w:val="24"/>
          <w:szCs w:val="24"/>
        </w:rPr>
        <w:t>.</w:t>
      </w:r>
    </w:p>
    <w:p w:rsidR="008263AE" w:rsidRPr="003A5530" w:rsidRDefault="008263AE" w:rsidP="003A5530">
      <w:pPr>
        <w:spacing w:after="0" w:line="360" w:lineRule="auto"/>
        <w:jc w:val="both"/>
        <w:rPr>
          <w:rFonts w:ascii="Arial" w:hAnsi="Arial" w:cs="Arial"/>
          <w:sz w:val="24"/>
          <w:szCs w:val="24"/>
        </w:rPr>
      </w:pPr>
    </w:p>
    <w:p w:rsidR="00F4307F" w:rsidRPr="003A5530" w:rsidRDefault="00833600" w:rsidP="003A5530">
      <w:pPr>
        <w:spacing w:after="0" w:line="360" w:lineRule="auto"/>
        <w:jc w:val="both"/>
        <w:rPr>
          <w:rFonts w:ascii="Arial" w:hAnsi="Arial" w:cs="Arial"/>
          <w:sz w:val="24"/>
          <w:szCs w:val="24"/>
        </w:rPr>
      </w:pPr>
      <w:r w:rsidRPr="003A5530">
        <w:rPr>
          <w:rFonts w:ascii="Arial" w:hAnsi="Arial" w:cs="Arial"/>
          <w:b/>
          <w:sz w:val="24"/>
          <w:szCs w:val="24"/>
        </w:rPr>
        <w:t>Artículo 5</w:t>
      </w:r>
      <w:r w:rsidR="001A5960" w:rsidRPr="003A5530">
        <w:rPr>
          <w:rFonts w:ascii="Arial" w:hAnsi="Arial" w:cs="Arial"/>
          <w:b/>
          <w:sz w:val="24"/>
          <w:szCs w:val="24"/>
        </w:rPr>
        <w:t>.-</w:t>
      </w:r>
      <w:r w:rsidR="00F4307F" w:rsidRPr="003A5530">
        <w:rPr>
          <w:rFonts w:ascii="Arial" w:hAnsi="Arial" w:cs="Arial"/>
          <w:b/>
          <w:sz w:val="24"/>
          <w:szCs w:val="24"/>
        </w:rPr>
        <w:t xml:space="preserve"> Deberes del Ministerio de Salud </w:t>
      </w:r>
      <w:r w:rsidR="001A5960" w:rsidRPr="003A5530">
        <w:rPr>
          <w:rFonts w:ascii="Arial" w:hAnsi="Arial" w:cs="Arial"/>
          <w:sz w:val="24"/>
          <w:szCs w:val="24"/>
        </w:rPr>
        <w:t xml:space="preserve"> </w:t>
      </w:r>
    </w:p>
    <w:p w:rsidR="00F4307F" w:rsidRPr="003A5530" w:rsidRDefault="00F4307F" w:rsidP="003A5530">
      <w:pPr>
        <w:spacing w:after="0" w:line="360" w:lineRule="auto"/>
        <w:jc w:val="both"/>
        <w:rPr>
          <w:rFonts w:ascii="Arial" w:hAnsi="Arial" w:cs="Arial"/>
          <w:sz w:val="24"/>
          <w:szCs w:val="24"/>
        </w:rPr>
      </w:pPr>
    </w:p>
    <w:p w:rsidR="001A5960"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El Mini</w:t>
      </w:r>
      <w:r w:rsidR="00A44882" w:rsidRPr="003A5530">
        <w:rPr>
          <w:rFonts w:ascii="Arial" w:hAnsi="Arial" w:cs="Arial"/>
          <w:sz w:val="24"/>
          <w:szCs w:val="24"/>
        </w:rPr>
        <w:t xml:space="preserve">sterio de Salud determinará los </w:t>
      </w:r>
      <w:r w:rsidRPr="003A5530">
        <w:rPr>
          <w:rFonts w:ascii="Arial" w:hAnsi="Arial" w:cs="Arial"/>
          <w:sz w:val="24"/>
          <w:szCs w:val="24"/>
        </w:rPr>
        <w:t>alimentos que, por unidad d</w:t>
      </w:r>
      <w:r w:rsidR="00A44882" w:rsidRPr="003A5530">
        <w:rPr>
          <w:rFonts w:ascii="Arial" w:hAnsi="Arial" w:cs="Arial"/>
          <w:sz w:val="24"/>
          <w:szCs w:val="24"/>
        </w:rPr>
        <w:t xml:space="preserve">e peso o volumen, o por porción </w:t>
      </w:r>
      <w:r w:rsidRPr="003A5530">
        <w:rPr>
          <w:rFonts w:ascii="Arial" w:hAnsi="Arial" w:cs="Arial"/>
          <w:sz w:val="24"/>
          <w:szCs w:val="24"/>
        </w:rPr>
        <w:t>de consumo, presenten en su composición nutricional</w:t>
      </w:r>
      <w:r w:rsidR="00363366" w:rsidRPr="003A5530">
        <w:rPr>
          <w:rFonts w:ascii="Arial" w:hAnsi="Arial" w:cs="Arial"/>
          <w:sz w:val="24"/>
          <w:szCs w:val="24"/>
        </w:rPr>
        <w:t xml:space="preserve"> </w:t>
      </w:r>
      <w:r w:rsidRPr="003A5530">
        <w:rPr>
          <w:rFonts w:ascii="Arial" w:hAnsi="Arial" w:cs="Arial"/>
          <w:sz w:val="24"/>
          <w:szCs w:val="24"/>
        </w:rPr>
        <w:t>elevados contenidos de ca</w:t>
      </w:r>
      <w:r w:rsidR="00363366" w:rsidRPr="003A5530">
        <w:rPr>
          <w:rFonts w:ascii="Arial" w:hAnsi="Arial" w:cs="Arial"/>
          <w:sz w:val="24"/>
          <w:szCs w:val="24"/>
        </w:rPr>
        <w:t>lorías, grasas, azúcares, sodio</w:t>
      </w:r>
      <w:r w:rsidR="00A44882" w:rsidRPr="003A5530">
        <w:rPr>
          <w:rFonts w:ascii="Arial" w:hAnsi="Arial" w:cs="Arial"/>
          <w:sz w:val="24"/>
          <w:szCs w:val="24"/>
        </w:rPr>
        <w:t xml:space="preserve"> u </w:t>
      </w:r>
      <w:r w:rsidRPr="003A5530">
        <w:rPr>
          <w:rFonts w:ascii="Arial" w:hAnsi="Arial" w:cs="Arial"/>
          <w:sz w:val="24"/>
          <w:szCs w:val="24"/>
        </w:rPr>
        <w:t>otros ingredientes</w:t>
      </w:r>
      <w:r w:rsidR="0058346E" w:rsidRPr="0058346E">
        <w:t xml:space="preserve"> </w:t>
      </w:r>
      <w:r w:rsidR="0058346E" w:rsidRPr="0058346E">
        <w:rPr>
          <w:rFonts w:ascii="Arial" w:hAnsi="Arial" w:cs="Arial"/>
          <w:sz w:val="24"/>
          <w:szCs w:val="24"/>
        </w:rPr>
        <w:t>que en exceso puedan provocar daños a la salud</w:t>
      </w:r>
      <w:r w:rsidR="00A44882" w:rsidRPr="003A5530">
        <w:rPr>
          <w:rFonts w:ascii="Arial" w:hAnsi="Arial" w:cs="Arial"/>
          <w:sz w:val="24"/>
          <w:szCs w:val="24"/>
        </w:rPr>
        <w:t xml:space="preserve">. Este tipo de </w:t>
      </w:r>
      <w:r w:rsidRPr="003A5530">
        <w:rPr>
          <w:rFonts w:ascii="Arial" w:hAnsi="Arial" w:cs="Arial"/>
          <w:sz w:val="24"/>
          <w:szCs w:val="24"/>
        </w:rPr>
        <w:t>alimentos se deberá rotular</w:t>
      </w:r>
      <w:r w:rsidR="00A44882" w:rsidRPr="003A5530">
        <w:rPr>
          <w:rFonts w:ascii="Arial" w:hAnsi="Arial" w:cs="Arial"/>
          <w:sz w:val="24"/>
          <w:szCs w:val="24"/>
        </w:rPr>
        <w:t xml:space="preserve"> como </w:t>
      </w:r>
      <w:r w:rsidR="00A44882" w:rsidRPr="003A5530">
        <w:rPr>
          <w:rFonts w:ascii="Arial" w:hAnsi="Arial" w:cs="Arial"/>
          <w:sz w:val="24"/>
          <w:szCs w:val="24"/>
        </w:rPr>
        <w:lastRenderedPageBreak/>
        <w:t xml:space="preserve">"alto en calorías", "alto </w:t>
      </w:r>
      <w:r w:rsidR="000F35EE" w:rsidRPr="003A5530">
        <w:rPr>
          <w:rFonts w:ascii="Arial" w:hAnsi="Arial" w:cs="Arial"/>
          <w:sz w:val="24"/>
          <w:szCs w:val="24"/>
        </w:rPr>
        <w:t xml:space="preserve">en sodio", “alto en grasas” </w:t>
      </w:r>
      <w:r w:rsidRPr="003A5530">
        <w:rPr>
          <w:rFonts w:ascii="Arial" w:hAnsi="Arial" w:cs="Arial"/>
          <w:sz w:val="24"/>
          <w:szCs w:val="24"/>
        </w:rPr>
        <w:t xml:space="preserve">o </w:t>
      </w:r>
      <w:r w:rsidR="000F35EE" w:rsidRPr="003A5530">
        <w:rPr>
          <w:rFonts w:ascii="Arial" w:hAnsi="Arial" w:cs="Arial"/>
          <w:sz w:val="24"/>
          <w:szCs w:val="24"/>
        </w:rPr>
        <w:t>“alto en azucares”, según</w:t>
      </w:r>
      <w:r w:rsidR="000E1512" w:rsidRPr="003A5530">
        <w:rPr>
          <w:rFonts w:ascii="Arial" w:hAnsi="Arial" w:cs="Arial"/>
          <w:sz w:val="24"/>
          <w:szCs w:val="24"/>
        </w:rPr>
        <w:t xml:space="preserve"> corresponda</w:t>
      </w:r>
      <w:r w:rsidRPr="003A5530">
        <w:rPr>
          <w:rFonts w:ascii="Arial" w:hAnsi="Arial" w:cs="Arial"/>
          <w:sz w:val="24"/>
          <w:szCs w:val="24"/>
        </w:rPr>
        <w:t>.</w:t>
      </w:r>
    </w:p>
    <w:p w:rsidR="00A44882" w:rsidRPr="003A5530" w:rsidRDefault="00A44882" w:rsidP="003A5530">
      <w:pPr>
        <w:spacing w:after="0" w:line="360" w:lineRule="auto"/>
        <w:jc w:val="both"/>
        <w:rPr>
          <w:rFonts w:ascii="Arial" w:hAnsi="Arial" w:cs="Arial"/>
          <w:sz w:val="24"/>
          <w:szCs w:val="24"/>
        </w:rPr>
      </w:pPr>
    </w:p>
    <w:p w:rsidR="00A44882"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La información indic</w:t>
      </w:r>
      <w:r w:rsidR="00A44882" w:rsidRPr="003A5530">
        <w:rPr>
          <w:rFonts w:ascii="Arial" w:hAnsi="Arial" w:cs="Arial"/>
          <w:sz w:val="24"/>
          <w:szCs w:val="24"/>
        </w:rPr>
        <w:t>ada</w:t>
      </w:r>
      <w:r w:rsidR="000F35EE" w:rsidRPr="003A5530">
        <w:rPr>
          <w:rFonts w:ascii="Arial" w:hAnsi="Arial" w:cs="Arial"/>
          <w:sz w:val="24"/>
          <w:szCs w:val="24"/>
        </w:rPr>
        <w:t xml:space="preserve"> anteriormente</w:t>
      </w:r>
      <w:r w:rsidR="00A44882" w:rsidRPr="003A5530">
        <w:rPr>
          <w:rFonts w:ascii="Arial" w:hAnsi="Arial" w:cs="Arial"/>
          <w:sz w:val="24"/>
          <w:szCs w:val="24"/>
        </w:rPr>
        <w:t xml:space="preserve">, incluyendo </w:t>
      </w:r>
      <w:r w:rsidRPr="003A5530">
        <w:rPr>
          <w:rFonts w:ascii="Arial" w:hAnsi="Arial" w:cs="Arial"/>
          <w:sz w:val="24"/>
          <w:szCs w:val="24"/>
        </w:rPr>
        <w:t>sus contenidos, forma,</w:t>
      </w:r>
      <w:r w:rsidR="00A44882" w:rsidRPr="003A5530">
        <w:rPr>
          <w:rFonts w:ascii="Arial" w:hAnsi="Arial" w:cs="Arial"/>
          <w:sz w:val="24"/>
          <w:szCs w:val="24"/>
        </w:rPr>
        <w:t xml:space="preserve"> tamaño, mensajes, señalética o </w:t>
      </w:r>
      <w:r w:rsidRPr="003A5530">
        <w:rPr>
          <w:rFonts w:ascii="Arial" w:hAnsi="Arial" w:cs="Arial"/>
          <w:sz w:val="24"/>
          <w:szCs w:val="24"/>
        </w:rPr>
        <w:t>dibujos, proporcio</w:t>
      </w:r>
      <w:r w:rsidR="00A44882" w:rsidRPr="003A5530">
        <w:rPr>
          <w:rFonts w:ascii="Arial" w:hAnsi="Arial" w:cs="Arial"/>
          <w:sz w:val="24"/>
          <w:szCs w:val="24"/>
        </w:rPr>
        <w:t xml:space="preserve">nes y demás características, </w:t>
      </w:r>
      <w:r w:rsidR="000F35EE" w:rsidRPr="003A5530">
        <w:rPr>
          <w:rFonts w:ascii="Arial" w:hAnsi="Arial" w:cs="Arial"/>
          <w:sz w:val="24"/>
          <w:szCs w:val="24"/>
        </w:rPr>
        <w:t xml:space="preserve">será determinada por </w:t>
      </w:r>
      <w:r w:rsidR="001D1428" w:rsidRPr="003A5530">
        <w:rPr>
          <w:rFonts w:ascii="Arial" w:hAnsi="Arial" w:cs="Arial"/>
          <w:sz w:val="24"/>
          <w:szCs w:val="24"/>
        </w:rPr>
        <w:t>el Ministerio</w:t>
      </w:r>
      <w:r w:rsidR="00A44882" w:rsidRPr="003A5530">
        <w:rPr>
          <w:rFonts w:ascii="Arial" w:hAnsi="Arial" w:cs="Arial"/>
          <w:sz w:val="24"/>
          <w:szCs w:val="24"/>
        </w:rPr>
        <w:t xml:space="preserve"> de Salud</w:t>
      </w:r>
      <w:r w:rsidRPr="003A5530">
        <w:rPr>
          <w:rFonts w:ascii="Arial" w:hAnsi="Arial" w:cs="Arial"/>
          <w:sz w:val="24"/>
          <w:szCs w:val="24"/>
        </w:rPr>
        <w:t xml:space="preserve">. </w:t>
      </w:r>
    </w:p>
    <w:p w:rsidR="00A44882" w:rsidRPr="003A5530" w:rsidRDefault="00A44882" w:rsidP="003A5530">
      <w:pPr>
        <w:spacing w:after="0" w:line="360" w:lineRule="auto"/>
        <w:jc w:val="both"/>
        <w:rPr>
          <w:rFonts w:ascii="Arial" w:hAnsi="Arial" w:cs="Arial"/>
          <w:sz w:val="24"/>
          <w:szCs w:val="24"/>
        </w:rPr>
      </w:pPr>
    </w:p>
    <w:p w:rsidR="008263AE" w:rsidRPr="003A5530" w:rsidRDefault="008263AE" w:rsidP="003A5530">
      <w:pPr>
        <w:spacing w:after="0" w:line="360" w:lineRule="auto"/>
        <w:jc w:val="both"/>
        <w:rPr>
          <w:rFonts w:ascii="Arial" w:hAnsi="Arial" w:cs="Arial"/>
          <w:sz w:val="24"/>
          <w:szCs w:val="24"/>
        </w:rPr>
      </w:pPr>
      <w:r w:rsidRPr="003A5530">
        <w:rPr>
          <w:rFonts w:ascii="Arial" w:hAnsi="Arial" w:cs="Arial"/>
          <w:sz w:val="24"/>
          <w:szCs w:val="24"/>
        </w:rPr>
        <w:t>El Ministerio de Salud realizará campañas publicitarias para la promoción de una alimentación saludable y hábitos de vida saludables.</w:t>
      </w:r>
    </w:p>
    <w:p w:rsidR="008263AE" w:rsidRPr="003A5530" w:rsidRDefault="008263AE" w:rsidP="003A5530">
      <w:pPr>
        <w:spacing w:after="0" w:line="360" w:lineRule="auto"/>
        <w:jc w:val="both"/>
        <w:rPr>
          <w:rFonts w:ascii="Arial" w:hAnsi="Arial" w:cs="Arial"/>
          <w:sz w:val="24"/>
          <w:szCs w:val="24"/>
        </w:rPr>
      </w:pPr>
    </w:p>
    <w:p w:rsidR="00F4307F" w:rsidRPr="003A5530" w:rsidRDefault="00833600" w:rsidP="003A5530">
      <w:pPr>
        <w:spacing w:after="0" w:line="360" w:lineRule="auto"/>
        <w:jc w:val="both"/>
        <w:rPr>
          <w:rFonts w:ascii="Arial" w:hAnsi="Arial" w:cs="Arial"/>
          <w:b/>
          <w:sz w:val="24"/>
          <w:szCs w:val="24"/>
        </w:rPr>
      </w:pPr>
      <w:r w:rsidRPr="003A5530">
        <w:rPr>
          <w:rFonts w:ascii="Arial" w:hAnsi="Arial" w:cs="Arial"/>
          <w:b/>
          <w:sz w:val="24"/>
          <w:szCs w:val="24"/>
        </w:rPr>
        <w:t>Artículo 6</w:t>
      </w:r>
      <w:r w:rsidR="001A5960" w:rsidRPr="003A5530">
        <w:rPr>
          <w:rFonts w:ascii="Arial" w:hAnsi="Arial" w:cs="Arial"/>
          <w:b/>
          <w:sz w:val="24"/>
          <w:szCs w:val="24"/>
        </w:rPr>
        <w:t>.-</w:t>
      </w:r>
      <w:r w:rsidR="00F4307F" w:rsidRPr="003A5530">
        <w:rPr>
          <w:rFonts w:ascii="Arial" w:hAnsi="Arial" w:cs="Arial"/>
          <w:b/>
          <w:sz w:val="24"/>
          <w:szCs w:val="24"/>
        </w:rPr>
        <w:t xml:space="preserve"> Comercialización, promoción y publicidad </w:t>
      </w:r>
    </w:p>
    <w:p w:rsidR="00F4307F" w:rsidRPr="003A5530" w:rsidRDefault="00F4307F" w:rsidP="003A5530">
      <w:pPr>
        <w:spacing w:after="0" w:line="360" w:lineRule="auto"/>
        <w:jc w:val="both"/>
        <w:rPr>
          <w:rFonts w:ascii="Arial" w:hAnsi="Arial" w:cs="Arial"/>
          <w:b/>
          <w:sz w:val="24"/>
          <w:szCs w:val="24"/>
        </w:rPr>
      </w:pPr>
    </w:p>
    <w:p w:rsidR="00433C4B"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Lo</w:t>
      </w:r>
      <w:r w:rsidR="00433C4B" w:rsidRPr="003A5530">
        <w:rPr>
          <w:rFonts w:ascii="Arial" w:hAnsi="Arial" w:cs="Arial"/>
          <w:sz w:val="24"/>
          <w:szCs w:val="24"/>
        </w:rPr>
        <w:t xml:space="preserve">s alimentos a que se refiere el </w:t>
      </w:r>
      <w:r w:rsidRPr="003A5530">
        <w:rPr>
          <w:rFonts w:ascii="Arial" w:hAnsi="Arial" w:cs="Arial"/>
          <w:sz w:val="24"/>
          <w:szCs w:val="24"/>
        </w:rPr>
        <w:t xml:space="preserve">artículo anterior </w:t>
      </w:r>
      <w:r w:rsidR="0058346E">
        <w:rPr>
          <w:rFonts w:ascii="Arial" w:hAnsi="Arial" w:cs="Arial"/>
          <w:sz w:val="24"/>
          <w:szCs w:val="24"/>
        </w:rPr>
        <w:t xml:space="preserve">que </w:t>
      </w:r>
      <w:r w:rsidR="0058346E" w:rsidRPr="0058346E">
        <w:rPr>
          <w:rFonts w:ascii="Arial" w:hAnsi="Arial" w:cs="Arial"/>
          <w:sz w:val="24"/>
          <w:szCs w:val="24"/>
        </w:rPr>
        <w:t>presenten en su composición nutricional elevados contenidos de calorías, grasas, azúcares, sodio u otros ingredientes que en exceso puedan provocar daños a la salud</w:t>
      </w:r>
      <w:r w:rsidR="0058346E">
        <w:rPr>
          <w:rFonts w:ascii="Arial" w:hAnsi="Arial" w:cs="Arial"/>
          <w:sz w:val="24"/>
          <w:szCs w:val="24"/>
        </w:rPr>
        <w:t>,</w:t>
      </w:r>
      <w:r w:rsidR="0058346E" w:rsidRPr="0058346E">
        <w:rPr>
          <w:rFonts w:ascii="Arial" w:hAnsi="Arial" w:cs="Arial"/>
          <w:sz w:val="24"/>
          <w:szCs w:val="24"/>
        </w:rPr>
        <w:t xml:space="preserve"> </w:t>
      </w:r>
      <w:r w:rsidRPr="003A5530">
        <w:rPr>
          <w:rFonts w:ascii="Arial" w:hAnsi="Arial" w:cs="Arial"/>
          <w:sz w:val="24"/>
          <w:szCs w:val="24"/>
        </w:rPr>
        <w:t xml:space="preserve">no se </w:t>
      </w:r>
      <w:r w:rsidR="00433C4B" w:rsidRPr="003A5530">
        <w:rPr>
          <w:rFonts w:ascii="Arial" w:hAnsi="Arial" w:cs="Arial"/>
          <w:sz w:val="24"/>
          <w:szCs w:val="24"/>
        </w:rPr>
        <w:t>podrán comercializar, p</w:t>
      </w:r>
      <w:r w:rsidRPr="003A5530">
        <w:rPr>
          <w:rFonts w:ascii="Arial" w:hAnsi="Arial" w:cs="Arial"/>
          <w:sz w:val="24"/>
          <w:szCs w:val="24"/>
        </w:rPr>
        <w:t>romocionar y publicita</w:t>
      </w:r>
      <w:r w:rsidR="00A0409D" w:rsidRPr="003A5530">
        <w:rPr>
          <w:rFonts w:ascii="Arial" w:hAnsi="Arial" w:cs="Arial"/>
          <w:sz w:val="24"/>
          <w:szCs w:val="24"/>
        </w:rPr>
        <w:t xml:space="preserve">r dentro de establecimientos de </w:t>
      </w:r>
      <w:r w:rsidRPr="003A5530">
        <w:rPr>
          <w:rFonts w:ascii="Arial" w:hAnsi="Arial" w:cs="Arial"/>
          <w:sz w:val="24"/>
          <w:szCs w:val="24"/>
        </w:rPr>
        <w:t xml:space="preserve">educación </w:t>
      </w:r>
      <w:r w:rsidR="005E4502" w:rsidRPr="003A5530">
        <w:rPr>
          <w:rFonts w:ascii="Arial" w:hAnsi="Arial" w:cs="Arial"/>
          <w:sz w:val="24"/>
          <w:szCs w:val="24"/>
        </w:rPr>
        <w:t xml:space="preserve">preescolar, primaria y secundaria. </w:t>
      </w:r>
    </w:p>
    <w:p w:rsidR="008263AE" w:rsidRPr="003A5530" w:rsidRDefault="008263AE" w:rsidP="003A5530">
      <w:pPr>
        <w:spacing w:after="0" w:line="360" w:lineRule="auto"/>
        <w:jc w:val="both"/>
        <w:rPr>
          <w:rFonts w:ascii="Arial" w:hAnsi="Arial" w:cs="Arial"/>
          <w:sz w:val="24"/>
          <w:szCs w:val="24"/>
        </w:rPr>
      </w:pPr>
    </w:p>
    <w:p w:rsidR="00433C4B" w:rsidRPr="003A5530" w:rsidRDefault="001A5960" w:rsidP="003A5530">
      <w:pPr>
        <w:spacing w:after="0" w:line="360" w:lineRule="auto"/>
        <w:jc w:val="both"/>
        <w:rPr>
          <w:rFonts w:ascii="Arial" w:hAnsi="Arial" w:cs="Arial"/>
          <w:sz w:val="24"/>
          <w:szCs w:val="24"/>
        </w:rPr>
      </w:pPr>
      <w:r w:rsidRPr="003A5530">
        <w:rPr>
          <w:rFonts w:ascii="Arial" w:hAnsi="Arial" w:cs="Arial"/>
          <w:sz w:val="24"/>
          <w:szCs w:val="24"/>
        </w:rPr>
        <w:t>Asimismo, se prohíbe su ofrecimiento o entrega</w:t>
      </w:r>
      <w:r w:rsidR="00433C4B" w:rsidRPr="003A5530">
        <w:rPr>
          <w:rFonts w:ascii="Arial" w:hAnsi="Arial" w:cs="Arial"/>
          <w:sz w:val="24"/>
          <w:szCs w:val="24"/>
        </w:rPr>
        <w:t xml:space="preserve"> a título gratuito a menores de edad, así como la </w:t>
      </w:r>
      <w:r w:rsidRPr="003A5530">
        <w:rPr>
          <w:rFonts w:ascii="Arial" w:hAnsi="Arial" w:cs="Arial"/>
          <w:sz w:val="24"/>
          <w:szCs w:val="24"/>
        </w:rPr>
        <w:t xml:space="preserve">publicidad de los mismos dirigida a </w:t>
      </w:r>
      <w:r w:rsidR="005E4502" w:rsidRPr="003A5530">
        <w:rPr>
          <w:rFonts w:ascii="Arial" w:hAnsi="Arial" w:cs="Arial"/>
          <w:sz w:val="24"/>
          <w:szCs w:val="24"/>
        </w:rPr>
        <w:t xml:space="preserve">esta población. </w:t>
      </w:r>
    </w:p>
    <w:p w:rsidR="008263AE" w:rsidRDefault="008263AE" w:rsidP="003A5530">
      <w:pPr>
        <w:spacing w:after="0" w:line="360" w:lineRule="auto"/>
        <w:jc w:val="both"/>
        <w:rPr>
          <w:rFonts w:ascii="Arial" w:hAnsi="Arial" w:cs="Arial"/>
          <w:sz w:val="24"/>
          <w:szCs w:val="24"/>
        </w:rPr>
      </w:pPr>
    </w:p>
    <w:p w:rsidR="0058346E" w:rsidRPr="003A5530" w:rsidRDefault="0058346E" w:rsidP="003A5530">
      <w:pPr>
        <w:spacing w:after="0" w:line="360" w:lineRule="auto"/>
        <w:jc w:val="both"/>
        <w:rPr>
          <w:rFonts w:ascii="Arial" w:hAnsi="Arial" w:cs="Arial"/>
          <w:sz w:val="24"/>
          <w:szCs w:val="24"/>
        </w:rPr>
      </w:pPr>
    </w:p>
    <w:p w:rsidR="00F4307F" w:rsidRPr="003A5530" w:rsidRDefault="00833600" w:rsidP="003A5530">
      <w:pPr>
        <w:spacing w:after="0" w:line="360" w:lineRule="auto"/>
        <w:jc w:val="both"/>
        <w:rPr>
          <w:rFonts w:ascii="Arial" w:hAnsi="Arial" w:cs="Arial"/>
          <w:sz w:val="24"/>
          <w:szCs w:val="24"/>
        </w:rPr>
      </w:pPr>
      <w:r w:rsidRPr="003A5530">
        <w:rPr>
          <w:rFonts w:ascii="Arial" w:hAnsi="Arial" w:cs="Arial"/>
          <w:b/>
          <w:sz w:val="24"/>
          <w:szCs w:val="24"/>
        </w:rPr>
        <w:t>Artículo 7</w:t>
      </w:r>
      <w:r w:rsidR="001A5960" w:rsidRPr="003A5530">
        <w:rPr>
          <w:rFonts w:ascii="Arial" w:hAnsi="Arial" w:cs="Arial"/>
          <w:b/>
          <w:sz w:val="24"/>
          <w:szCs w:val="24"/>
        </w:rPr>
        <w:t>.-</w:t>
      </w:r>
      <w:r w:rsidR="00F4307F" w:rsidRPr="003A5530">
        <w:rPr>
          <w:rFonts w:ascii="Arial" w:hAnsi="Arial" w:cs="Arial"/>
          <w:b/>
          <w:sz w:val="24"/>
          <w:szCs w:val="24"/>
        </w:rPr>
        <w:t xml:space="preserve"> Sanciones</w:t>
      </w:r>
      <w:r w:rsidR="001A5960" w:rsidRPr="003A5530">
        <w:rPr>
          <w:rFonts w:ascii="Arial" w:hAnsi="Arial" w:cs="Arial"/>
          <w:sz w:val="24"/>
          <w:szCs w:val="24"/>
        </w:rPr>
        <w:t xml:space="preserve"> </w:t>
      </w:r>
    </w:p>
    <w:p w:rsidR="00F4307F" w:rsidRPr="003A5530" w:rsidRDefault="00F4307F" w:rsidP="003A5530">
      <w:pPr>
        <w:spacing w:after="0" w:line="360" w:lineRule="auto"/>
        <w:jc w:val="both"/>
        <w:rPr>
          <w:rFonts w:ascii="Arial" w:hAnsi="Arial" w:cs="Arial"/>
          <w:sz w:val="24"/>
          <w:szCs w:val="24"/>
        </w:rPr>
      </w:pPr>
    </w:p>
    <w:p w:rsidR="00A0409D" w:rsidRPr="003A5530" w:rsidRDefault="001268EA" w:rsidP="003A5530">
      <w:pPr>
        <w:spacing w:after="0" w:line="360" w:lineRule="auto"/>
        <w:jc w:val="both"/>
        <w:rPr>
          <w:rFonts w:ascii="Arial" w:hAnsi="Arial" w:cs="Arial"/>
          <w:sz w:val="24"/>
          <w:szCs w:val="24"/>
        </w:rPr>
      </w:pPr>
      <w:r w:rsidRPr="003A5530">
        <w:rPr>
          <w:rFonts w:ascii="Arial" w:hAnsi="Arial" w:cs="Arial"/>
          <w:sz w:val="24"/>
          <w:szCs w:val="24"/>
        </w:rPr>
        <w:t>El incumplimiento en las normas de etiquetado, comercialización, promoción y publicidad dispuestas en la presente ley será sancionado con una multa de entre tres y seis salarios base referenciados al artículo 2 de la ley Nº 7337 de 5 de mayo de 1993.</w:t>
      </w:r>
    </w:p>
    <w:p w:rsidR="00363366" w:rsidRDefault="00363366" w:rsidP="003A5530">
      <w:pPr>
        <w:spacing w:after="0" w:line="360" w:lineRule="auto"/>
        <w:jc w:val="both"/>
        <w:rPr>
          <w:rFonts w:ascii="Arial" w:hAnsi="Arial" w:cs="Arial"/>
          <w:sz w:val="24"/>
          <w:szCs w:val="24"/>
        </w:rPr>
      </w:pPr>
    </w:p>
    <w:p w:rsidR="0058346E" w:rsidRDefault="0058346E" w:rsidP="003A5530">
      <w:pPr>
        <w:spacing w:after="0" w:line="360" w:lineRule="auto"/>
        <w:jc w:val="both"/>
        <w:rPr>
          <w:rFonts w:ascii="Arial" w:hAnsi="Arial" w:cs="Arial"/>
          <w:sz w:val="24"/>
          <w:szCs w:val="24"/>
        </w:rPr>
      </w:pPr>
    </w:p>
    <w:p w:rsidR="0058346E" w:rsidRPr="003A5530" w:rsidRDefault="0058346E" w:rsidP="003A5530">
      <w:pPr>
        <w:spacing w:after="0" w:line="360" w:lineRule="auto"/>
        <w:jc w:val="both"/>
        <w:rPr>
          <w:rFonts w:ascii="Arial" w:hAnsi="Arial" w:cs="Arial"/>
          <w:sz w:val="24"/>
          <w:szCs w:val="24"/>
        </w:rPr>
      </w:pPr>
    </w:p>
    <w:p w:rsidR="00F4307F" w:rsidRPr="003A5530" w:rsidRDefault="00833600" w:rsidP="003A5530">
      <w:pPr>
        <w:spacing w:after="0" w:line="360" w:lineRule="auto"/>
        <w:jc w:val="both"/>
        <w:rPr>
          <w:rFonts w:ascii="Arial" w:hAnsi="Arial" w:cs="Arial"/>
          <w:b/>
          <w:sz w:val="24"/>
          <w:szCs w:val="24"/>
        </w:rPr>
      </w:pPr>
      <w:r w:rsidRPr="003A5530">
        <w:rPr>
          <w:rFonts w:ascii="Arial" w:hAnsi="Arial" w:cs="Arial"/>
          <w:b/>
          <w:sz w:val="24"/>
          <w:szCs w:val="24"/>
        </w:rPr>
        <w:lastRenderedPageBreak/>
        <w:t>Artículo 8.-</w:t>
      </w:r>
      <w:r w:rsidR="00F4307F" w:rsidRPr="003A5530">
        <w:rPr>
          <w:rFonts w:ascii="Arial" w:hAnsi="Arial" w:cs="Arial"/>
          <w:b/>
          <w:sz w:val="24"/>
          <w:szCs w:val="24"/>
        </w:rPr>
        <w:t xml:space="preserve"> Destino de las recaudaciones por sanciones</w:t>
      </w:r>
    </w:p>
    <w:p w:rsidR="00F4307F" w:rsidRPr="003A5530" w:rsidRDefault="00F4307F" w:rsidP="003A5530">
      <w:pPr>
        <w:spacing w:after="0" w:line="360" w:lineRule="auto"/>
        <w:jc w:val="both"/>
        <w:rPr>
          <w:rFonts w:ascii="Arial" w:hAnsi="Arial" w:cs="Arial"/>
          <w:b/>
          <w:sz w:val="24"/>
          <w:szCs w:val="24"/>
        </w:rPr>
      </w:pPr>
    </w:p>
    <w:p w:rsidR="00833600" w:rsidRPr="003A5530" w:rsidRDefault="00833600" w:rsidP="003A5530">
      <w:pPr>
        <w:spacing w:after="0" w:line="360" w:lineRule="auto"/>
        <w:jc w:val="both"/>
        <w:rPr>
          <w:rFonts w:ascii="Arial" w:hAnsi="Arial" w:cs="Arial"/>
          <w:sz w:val="24"/>
          <w:szCs w:val="24"/>
        </w:rPr>
      </w:pPr>
      <w:r w:rsidRPr="003A5530">
        <w:rPr>
          <w:rFonts w:ascii="Arial" w:hAnsi="Arial" w:cs="Arial"/>
          <w:sz w:val="24"/>
          <w:szCs w:val="24"/>
        </w:rPr>
        <w:t>Lo recaudado por concepto de multas según lo dispuesto en el artículo anterior, será destinado al Ministerio de Salud con el fin de que realice campañas publicitarias para la promoción de una alimentación saludable y hábitos de vida saludables.</w:t>
      </w:r>
    </w:p>
    <w:p w:rsidR="00363366" w:rsidRDefault="00363366" w:rsidP="003A5530">
      <w:pPr>
        <w:spacing w:after="0" w:line="360" w:lineRule="auto"/>
        <w:jc w:val="both"/>
        <w:rPr>
          <w:rFonts w:ascii="Arial" w:hAnsi="Arial" w:cs="Arial"/>
          <w:sz w:val="24"/>
          <w:szCs w:val="24"/>
        </w:rPr>
      </w:pPr>
    </w:p>
    <w:p w:rsidR="0058346E" w:rsidRPr="003A5530" w:rsidRDefault="0058346E" w:rsidP="003A5530">
      <w:pPr>
        <w:spacing w:after="0" w:line="360" w:lineRule="auto"/>
        <w:jc w:val="both"/>
        <w:rPr>
          <w:rFonts w:ascii="Arial" w:hAnsi="Arial" w:cs="Arial"/>
          <w:sz w:val="24"/>
          <w:szCs w:val="24"/>
        </w:rPr>
      </w:pPr>
    </w:p>
    <w:p w:rsidR="00A0409D" w:rsidRPr="003A5530" w:rsidRDefault="001268EA" w:rsidP="003A5530">
      <w:pPr>
        <w:spacing w:after="0" w:line="360" w:lineRule="auto"/>
        <w:jc w:val="both"/>
        <w:rPr>
          <w:rFonts w:ascii="Arial" w:hAnsi="Arial" w:cs="Arial"/>
          <w:sz w:val="24"/>
          <w:szCs w:val="24"/>
        </w:rPr>
      </w:pPr>
      <w:r w:rsidRPr="003A5530">
        <w:rPr>
          <w:rFonts w:ascii="Arial" w:hAnsi="Arial" w:cs="Arial"/>
          <w:b/>
          <w:sz w:val="24"/>
          <w:szCs w:val="24"/>
        </w:rPr>
        <w:t xml:space="preserve">Transitorio único. -  </w:t>
      </w:r>
      <w:r w:rsidRPr="003A5530">
        <w:rPr>
          <w:rFonts w:ascii="Arial" w:hAnsi="Arial" w:cs="Arial"/>
          <w:sz w:val="24"/>
          <w:szCs w:val="24"/>
        </w:rPr>
        <w:t>El Poder Ejecutivo reglamentará la presente ley en un plazo no mayor de 3 meses después de su publicación en el Diario Oficial.</w:t>
      </w:r>
    </w:p>
    <w:p w:rsidR="00363366" w:rsidRPr="003A5530" w:rsidRDefault="00363366" w:rsidP="003A5530">
      <w:pPr>
        <w:spacing w:after="0" w:line="360" w:lineRule="auto"/>
        <w:jc w:val="both"/>
        <w:rPr>
          <w:rFonts w:ascii="Arial" w:hAnsi="Arial" w:cs="Arial"/>
          <w:sz w:val="24"/>
          <w:szCs w:val="24"/>
        </w:rPr>
      </w:pPr>
    </w:p>
    <w:p w:rsidR="001A5960" w:rsidRPr="003A5530" w:rsidRDefault="001A5960" w:rsidP="003A5530">
      <w:pPr>
        <w:spacing w:after="0" w:line="360" w:lineRule="auto"/>
        <w:jc w:val="both"/>
        <w:rPr>
          <w:rFonts w:ascii="Arial" w:hAnsi="Arial" w:cs="Arial"/>
          <w:sz w:val="24"/>
          <w:szCs w:val="24"/>
        </w:rPr>
      </w:pPr>
    </w:p>
    <w:p w:rsidR="001268EA" w:rsidRPr="003A5530" w:rsidRDefault="00833600" w:rsidP="003A5530">
      <w:pPr>
        <w:spacing w:after="0" w:line="360" w:lineRule="auto"/>
        <w:jc w:val="both"/>
        <w:rPr>
          <w:rFonts w:ascii="Arial" w:hAnsi="Arial" w:cs="Arial"/>
          <w:sz w:val="24"/>
          <w:szCs w:val="24"/>
        </w:rPr>
      </w:pPr>
      <w:r w:rsidRPr="003A5530">
        <w:rPr>
          <w:rFonts w:ascii="Arial" w:hAnsi="Arial" w:cs="Arial"/>
          <w:sz w:val="24"/>
          <w:szCs w:val="24"/>
        </w:rPr>
        <w:t xml:space="preserve">Rige doce </w:t>
      </w:r>
      <w:r w:rsidR="001268EA" w:rsidRPr="003A5530">
        <w:rPr>
          <w:rFonts w:ascii="Arial" w:hAnsi="Arial" w:cs="Arial"/>
          <w:sz w:val="24"/>
          <w:szCs w:val="24"/>
        </w:rPr>
        <w:t xml:space="preserve">meses después de su publicación. </w:t>
      </w:r>
    </w:p>
    <w:p w:rsidR="007B5DEA" w:rsidRPr="003A5530" w:rsidRDefault="007B5DEA" w:rsidP="003A5530">
      <w:pPr>
        <w:spacing w:after="0" w:line="360" w:lineRule="auto"/>
        <w:jc w:val="both"/>
        <w:rPr>
          <w:rFonts w:ascii="Arial" w:hAnsi="Arial" w:cs="Arial"/>
          <w:sz w:val="24"/>
          <w:szCs w:val="24"/>
        </w:rPr>
      </w:pPr>
    </w:p>
    <w:p w:rsidR="007B5DEA" w:rsidRPr="003A5530" w:rsidRDefault="007B5DEA" w:rsidP="003A5530">
      <w:pPr>
        <w:spacing w:after="0" w:line="360" w:lineRule="auto"/>
        <w:jc w:val="both"/>
        <w:rPr>
          <w:rFonts w:ascii="Arial" w:hAnsi="Arial" w:cs="Arial"/>
          <w:sz w:val="24"/>
          <w:szCs w:val="24"/>
        </w:rPr>
      </w:pPr>
    </w:p>
    <w:p w:rsidR="007B5DEA" w:rsidRDefault="007B5DEA" w:rsidP="003A5530">
      <w:pPr>
        <w:spacing w:after="0" w:line="360" w:lineRule="auto"/>
        <w:jc w:val="both"/>
        <w:rPr>
          <w:rFonts w:ascii="Arial" w:hAnsi="Arial" w:cs="Arial"/>
          <w:sz w:val="24"/>
          <w:szCs w:val="24"/>
        </w:rPr>
      </w:pPr>
    </w:p>
    <w:p w:rsidR="0058346E" w:rsidRDefault="0058346E" w:rsidP="003A5530">
      <w:pPr>
        <w:spacing w:after="0" w:line="360" w:lineRule="auto"/>
        <w:jc w:val="both"/>
        <w:rPr>
          <w:rFonts w:ascii="Arial" w:hAnsi="Arial" w:cs="Arial"/>
          <w:sz w:val="24"/>
          <w:szCs w:val="24"/>
        </w:rPr>
      </w:pPr>
    </w:p>
    <w:p w:rsidR="0058346E" w:rsidRDefault="0058346E" w:rsidP="003A5530">
      <w:pPr>
        <w:spacing w:after="0" w:line="360" w:lineRule="auto"/>
        <w:jc w:val="both"/>
        <w:rPr>
          <w:rFonts w:ascii="Arial" w:hAnsi="Arial" w:cs="Arial"/>
          <w:sz w:val="24"/>
          <w:szCs w:val="24"/>
        </w:rPr>
      </w:pPr>
    </w:p>
    <w:p w:rsidR="0058346E" w:rsidRPr="003A5530" w:rsidRDefault="0058346E" w:rsidP="003A5530">
      <w:pPr>
        <w:spacing w:after="0" w:line="360" w:lineRule="auto"/>
        <w:jc w:val="both"/>
        <w:rPr>
          <w:rFonts w:ascii="Arial" w:hAnsi="Arial" w:cs="Arial"/>
          <w:sz w:val="24"/>
          <w:szCs w:val="24"/>
        </w:rPr>
      </w:pPr>
    </w:p>
    <w:p w:rsidR="007B5DEA" w:rsidRPr="003A5530" w:rsidRDefault="007B5DEA" w:rsidP="003A5530">
      <w:pPr>
        <w:spacing w:after="0" w:line="360" w:lineRule="auto"/>
        <w:jc w:val="both"/>
        <w:rPr>
          <w:rFonts w:ascii="Arial" w:hAnsi="Arial" w:cs="Arial"/>
          <w:sz w:val="24"/>
          <w:szCs w:val="24"/>
        </w:rPr>
      </w:pPr>
    </w:p>
    <w:p w:rsidR="007B5DEA" w:rsidRPr="003A5530" w:rsidRDefault="007B5DEA" w:rsidP="0058346E">
      <w:pPr>
        <w:spacing w:after="0" w:line="360" w:lineRule="auto"/>
        <w:jc w:val="center"/>
        <w:rPr>
          <w:rFonts w:ascii="Arial" w:eastAsia="Calibri" w:hAnsi="Arial" w:cs="Arial"/>
          <w:b/>
          <w:sz w:val="24"/>
          <w:szCs w:val="24"/>
        </w:rPr>
      </w:pPr>
      <w:r w:rsidRPr="003A5530">
        <w:rPr>
          <w:rFonts w:ascii="Arial" w:eastAsia="Calibri" w:hAnsi="Arial" w:cs="Arial"/>
          <w:b/>
          <w:sz w:val="24"/>
          <w:szCs w:val="24"/>
        </w:rPr>
        <w:t>María José Corrales Chacón</w:t>
      </w:r>
    </w:p>
    <w:p w:rsidR="007B5DEA" w:rsidRDefault="007B5DEA" w:rsidP="003A5530">
      <w:pPr>
        <w:spacing w:after="0" w:line="360" w:lineRule="auto"/>
        <w:jc w:val="center"/>
        <w:rPr>
          <w:rFonts w:ascii="Arial" w:eastAsia="Calibri" w:hAnsi="Arial" w:cs="Arial"/>
          <w:b/>
          <w:sz w:val="24"/>
          <w:szCs w:val="24"/>
        </w:rPr>
      </w:pPr>
      <w:r w:rsidRPr="003A5530">
        <w:rPr>
          <w:rFonts w:ascii="Arial" w:eastAsia="Calibri" w:hAnsi="Arial" w:cs="Arial"/>
          <w:b/>
          <w:sz w:val="24"/>
          <w:szCs w:val="24"/>
        </w:rPr>
        <w:t>Diputada</w:t>
      </w:r>
    </w:p>
    <w:p w:rsidR="004957EE" w:rsidRDefault="004957EE" w:rsidP="003A5530">
      <w:pPr>
        <w:spacing w:after="0" w:line="360" w:lineRule="auto"/>
        <w:jc w:val="center"/>
        <w:rPr>
          <w:rFonts w:ascii="Arial" w:eastAsia="Calibri" w:hAnsi="Arial" w:cs="Arial"/>
          <w:b/>
          <w:sz w:val="24"/>
          <w:szCs w:val="24"/>
        </w:rPr>
      </w:pPr>
    </w:p>
    <w:p w:rsidR="004957EE" w:rsidRDefault="004957EE" w:rsidP="003A5530">
      <w:pPr>
        <w:spacing w:after="0" w:line="360" w:lineRule="auto"/>
        <w:jc w:val="center"/>
        <w:rPr>
          <w:rFonts w:ascii="Arial" w:eastAsia="Calibri" w:hAnsi="Arial" w:cs="Arial"/>
          <w:b/>
          <w:sz w:val="24"/>
          <w:szCs w:val="24"/>
        </w:rPr>
      </w:pPr>
    </w:p>
    <w:p w:rsidR="004957EE" w:rsidRDefault="004957EE" w:rsidP="003A5530">
      <w:pPr>
        <w:spacing w:after="0" w:line="360" w:lineRule="auto"/>
        <w:jc w:val="center"/>
        <w:rPr>
          <w:rFonts w:ascii="Arial" w:eastAsia="Calibri" w:hAnsi="Arial" w:cs="Arial"/>
          <w:b/>
          <w:sz w:val="24"/>
          <w:szCs w:val="24"/>
        </w:rPr>
      </w:pPr>
    </w:p>
    <w:p w:rsidR="004957EE" w:rsidRPr="00A8087B" w:rsidRDefault="004957EE" w:rsidP="004957EE">
      <w:pPr>
        <w:rPr>
          <w:b/>
        </w:rPr>
      </w:pPr>
      <w:r w:rsidRPr="00BE1DF3">
        <w:rPr>
          <w:b/>
        </w:rPr>
        <w:t>El expediente legislativo aún no tiene Comisión asignada</w:t>
      </w:r>
      <w:r>
        <w:rPr>
          <w:b/>
        </w:rPr>
        <w:t xml:space="preserve"> </w:t>
      </w:r>
    </w:p>
    <w:p w:rsidR="004957EE" w:rsidRPr="003A5530" w:rsidRDefault="004957EE" w:rsidP="003A5530">
      <w:pPr>
        <w:spacing w:after="0" w:line="360" w:lineRule="auto"/>
        <w:jc w:val="center"/>
        <w:rPr>
          <w:rFonts w:ascii="Arial" w:eastAsia="Calibri" w:hAnsi="Arial" w:cs="Arial"/>
          <w:b/>
          <w:sz w:val="24"/>
          <w:szCs w:val="24"/>
        </w:rPr>
      </w:pPr>
      <w:bookmarkStart w:id="0" w:name="_GoBack"/>
      <w:bookmarkEnd w:id="0"/>
    </w:p>
    <w:p w:rsidR="007B5DEA" w:rsidRPr="003A5530" w:rsidRDefault="007B5DEA" w:rsidP="003A5530">
      <w:pPr>
        <w:spacing w:after="0" w:line="360" w:lineRule="auto"/>
        <w:jc w:val="both"/>
        <w:rPr>
          <w:rFonts w:ascii="Arial" w:hAnsi="Arial" w:cs="Arial"/>
          <w:sz w:val="24"/>
          <w:szCs w:val="24"/>
        </w:rPr>
      </w:pPr>
    </w:p>
    <w:sectPr w:rsidR="007B5DEA" w:rsidRPr="003A553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663F" w:rsidRDefault="00BD663F" w:rsidP="007B5DEA">
      <w:pPr>
        <w:spacing w:after="0" w:line="240" w:lineRule="auto"/>
      </w:pPr>
      <w:r>
        <w:separator/>
      </w:r>
    </w:p>
  </w:endnote>
  <w:endnote w:type="continuationSeparator" w:id="0">
    <w:p w:rsidR="00BD663F" w:rsidRDefault="00BD663F" w:rsidP="007B5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663F" w:rsidRDefault="00BD663F" w:rsidP="007B5DEA">
      <w:pPr>
        <w:spacing w:after="0" w:line="240" w:lineRule="auto"/>
      </w:pPr>
      <w:r>
        <w:separator/>
      </w:r>
    </w:p>
  </w:footnote>
  <w:footnote w:type="continuationSeparator" w:id="0">
    <w:p w:rsidR="00BD663F" w:rsidRDefault="00BD663F" w:rsidP="007B5DEA">
      <w:pPr>
        <w:spacing w:after="0" w:line="240" w:lineRule="auto"/>
      </w:pPr>
      <w:r>
        <w:continuationSeparator/>
      </w:r>
    </w:p>
  </w:footnote>
  <w:footnote w:id="1">
    <w:p w:rsidR="007B5DEA" w:rsidRPr="00DE252F" w:rsidRDefault="007B5DEA" w:rsidP="007B5DEA">
      <w:pPr>
        <w:pStyle w:val="Textonotapie"/>
        <w:jc w:val="both"/>
      </w:pPr>
      <w:r>
        <w:rPr>
          <w:rStyle w:val="Refdenotaalpie"/>
        </w:rPr>
        <w:footnoteRef/>
      </w:r>
      <w:r>
        <w:t xml:space="preserve"> </w:t>
      </w:r>
      <w:r w:rsidRPr="00DE252F">
        <w:t xml:space="preserve">Morales, Cristian y Malo, Miguel (s.f.) “Recomendaciones de la Organización Panamericana de Salud/Organización Mundial de Salud (OPS/OMS) sobre Etiquetado Frontal de Alimentos”. Organización Panamericana de Salud/Organización Mundial de Salud (OPS/OMS). Disponible en: </w:t>
      </w:r>
      <w:hyperlink r:id="rId1" w:history="1">
        <w:r w:rsidRPr="003C1F79">
          <w:rPr>
            <w:rStyle w:val="Hipervnculo1"/>
          </w:rPr>
          <w:t>http://comisiones.senado.gob.mx/salud/docs/etiquetado/alimentos.pdf</w:t>
        </w:r>
      </w:hyperlink>
      <w:r>
        <w:t xml:space="preserve"> </w:t>
      </w:r>
      <w:r w:rsidRPr="00DE252F">
        <w:t xml:space="preserve"> Consultado el 24 de abril de 2020.</w:t>
      </w:r>
    </w:p>
  </w:footnote>
  <w:footnote w:id="2">
    <w:p w:rsidR="007B5DEA" w:rsidRPr="00AC26FB" w:rsidRDefault="007B5DEA" w:rsidP="007B5DEA">
      <w:pPr>
        <w:spacing w:after="0" w:line="240" w:lineRule="auto"/>
        <w:jc w:val="both"/>
        <w:rPr>
          <w:sz w:val="20"/>
          <w:szCs w:val="20"/>
          <w:lang w:val="es-CL"/>
        </w:rPr>
      </w:pPr>
      <w:r>
        <w:rPr>
          <w:rStyle w:val="Refdenotaalpie"/>
        </w:rPr>
        <w:footnoteRef/>
      </w:r>
      <w:r>
        <w:t xml:space="preserve"> </w:t>
      </w:r>
      <w:r w:rsidRPr="00DE252F">
        <w:rPr>
          <w:sz w:val="20"/>
          <w:szCs w:val="20"/>
          <w:lang w:val="es-CL"/>
        </w:rPr>
        <w:t xml:space="preserve">Ramírez, Rodrigo et al. (2016). “Informe Especial. Ley de Etiquetado y Publicidad de Alimentos en Chile: ¿Un modelo replicable para Latinoamérica?”. Desarrollando Ideas, Centro de Liderazgo. LLORENTE &amp; CUENCA. Disponible en: </w:t>
      </w:r>
      <w:hyperlink r:id="rId2" w:history="1">
        <w:r w:rsidRPr="00DE252F">
          <w:rPr>
            <w:rStyle w:val="Hipervnculo1"/>
            <w:sz w:val="20"/>
            <w:szCs w:val="20"/>
            <w:lang w:val="es-CL"/>
          </w:rPr>
          <w:t>https://ideas.llorenteycuenca.com/wp-content/uploads/sites/5/2016/05/160504_DI_informe_alimentacion_chile_ESP.pdf</w:t>
        </w:r>
      </w:hyperlink>
      <w:r w:rsidRPr="00DE252F">
        <w:rPr>
          <w:sz w:val="20"/>
          <w:szCs w:val="20"/>
          <w:lang w:val="es-CL"/>
        </w:rPr>
        <w:t xml:space="preserve"> Consultado el 24 de abril de 2020. </w:t>
      </w:r>
    </w:p>
  </w:footnote>
  <w:footnote w:id="3">
    <w:p w:rsidR="007B5DEA" w:rsidRDefault="007B5DEA" w:rsidP="007B5DEA">
      <w:pPr>
        <w:pStyle w:val="Textonotapie"/>
      </w:pPr>
      <w:r>
        <w:rPr>
          <w:rStyle w:val="Refdenotaalpie"/>
        </w:rPr>
        <w:footnoteRef/>
      </w:r>
      <w:r>
        <w:t xml:space="preserve"> </w:t>
      </w:r>
      <w:r w:rsidRPr="00AC26FB">
        <w:t>M</w:t>
      </w:r>
      <w:r>
        <w:t xml:space="preserve">orales, Cristian y Malo, Miguel. Op. Cit. </w:t>
      </w:r>
    </w:p>
  </w:footnote>
  <w:footnote w:id="4">
    <w:p w:rsidR="007B5DEA" w:rsidRDefault="007B5DEA" w:rsidP="007B5DEA">
      <w:pPr>
        <w:pStyle w:val="Textonotapie"/>
      </w:pPr>
      <w:r>
        <w:rPr>
          <w:rStyle w:val="Refdenotaalpie"/>
        </w:rPr>
        <w:footnoteRef/>
      </w:r>
      <w:r>
        <w:t xml:space="preserve"> Ídem. </w:t>
      </w:r>
    </w:p>
  </w:footnote>
  <w:footnote w:id="5">
    <w:p w:rsidR="00EB1F22" w:rsidRDefault="00EB1F22" w:rsidP="00EB1F22">
      <w:pPr>
        <w:pStyle w:val="Textonotapie"/>
      </w:pPr>
      <w:r>
        <w:rPr>
          <w:rStyle w:val="Refdenotaalpie"/>
        </w:rPr>
        <w:footnoteRef/>
      </w:r>
      <w:r>
        <w:t xml:space="preserve"> Ministerio de Salud. (2014). “Estrategia nacional de abordaje integral de las enfermedades crónicas no transmisibles y obesidad y su plan de acción”. San José, Costa Rica. Pág. 11. </w:t>
      </w:r>
    </w:p>
  </w:footnote>
  <w:footnote w:id="6">
    <w:p w:rsidR="007B5DEA" w:rsidRDefault="007B5DEA" w:rsidP="007B5DEA">
      <w:pPr>
        <w:pStyle w:val="Textonotapie"/>
        <w:jc w:val="both"/>
      </w:pPr>
      <w:r>
        <w:rPr>
          <w:rStyle w:val="Refdenotaalpie"/>
        </w:rPr>
        <w:footnoteRef/>
      </w:r>
      <w:r>
        <w:t xml:space="preserve"> “</w:t>
      </w:r>
      <w:r w:rsidRPr="003E52CA">
        <w:t>Censo Escolar de Peso-Talla</w:t>
      </w:r>
      <w:r>
        <w:t>”.</w:t>
      </w:r>
      <w:r w:rsidRPr="003E52CA">
        <w:t xml:space="preserve"> (2016). Ministerio de Educación Pública-Ministerio de Salud- CEN CINAI-UNICEF. Disponible en: </w:t>
      </w:r>
      <w:hyperlink r:id="rId3" w:history="1">
        <w:r w:rsidRPr="003C1F79">
          <w:rPr>
            <w:rStyle w:val="Hipervnculo1"/>
          </w:rPr>
          <w:t>https://www.mep.go.cr/sites/default/files/page/adjuntos/informe-ejecutivo-censo-escolar-peso-cortofinal.pdf</w:t>
        </w:r>
      </w:hyperlink>
      <w:r>
        <w:t xml:space="preserve"> </w:t>
      </w:r>
      <w:r w:rsidRPr="003E52CA">
        <w:t xml:space="preserve"> Consultado el 24 de abril de 2020</w:t>
      </w:r>
    </w:p>
  </w:footnote>
  <w:footnote w:id="7">
    <w:p w:rsidR="007B5DEA" w:rsidRDefault="007B5DEA" w:rsidP="007B5DEA">
      <w:pPr>
        <w:pStyle w:val="Textonotapie"/>
      </w:pPr>
      <w:r>
        <w:rPr>
          <w:rStyle w:val="Refdenotaalpie"/>
        </w:rPr>
        <w:footnoteRef/>
      </w:r>
      <w:r>
        <w:t xml:space="preserve"> Ídem. </w:t>
      </w:r>
    </w:p>
  </w:footnote>
  <w:footnote w:id="8">
    <w:p w:rsidR="007B5DEA" w:rsidRDefault="007B5DEA" w:rsidP="007B5DEA">
      <w:pPr>
        <w:pStyle w:val="Textonotapie"/>
      </w:pPr>
      <w:r>
        <w:rPr>
          <w:rStyle w:val="Refdenotaalpie"/>
        </w:rPr>
        <w:footnoteRef/>
      </w:r>
      <w:r>
        <w:t xml:space="preserve"> Ídem. </w:t>
      </w:r>
    </w:p>
  </w:footnote>
  <w:footnote w:id="9">
    <w:p w:rsidR="007B5DEA" w:rsidRDefault="007B5DEA" w:rsidP="007B5DEA">
      <w:pPr>
        <w:pStyle w:val="Textonotapie"/>
      </w:pPr>
      <w:r>
        <w:rPr>
          <w:rStyle w:val="Refdenotaalpie"/>
        </w:rPr>
        <w:footnoteRef/>
      </w:r>
      <w:r>
        <w:t xml:space="preserve"> Ídem. </w:t>
      </w:r>
    </w:p>
  </w:footnote>
  <w:footnote w:id="10">
    <w:p w:rsidR="007B5DEA" w:rsidRDefault="007B5DEA" w:rsidP="007B5DEA">
      <w:pPr>
        <w:pStyle w:val="Textonotapie"/>
        <w:jc w:val="both"/>
      </w:pPr>
      <w:r>
        <w:rPr>
          <w:rStyle w:val="Refdenotaalpie"/>
        </w:rPr>
        <w:footnoteRef/>
      </w:r>
      <w:r>
        <w:t xml:space="preserve"> Ministerio de Salud et al. (2010). “Encuesta Nacional de Nutrición 2008-2009”. Ministerio de Salud, San José, Costa Rica.</w:t>
      </w:r>
    </w:p>
  </w:footnote>
  <w:footnote w:id="11">
    <w:p w:rsidR="007B5DEA" w:rsidRDefault="007B5DEA" w:rsidP="007B5DEA">
      <w:pPr>
        <w:pStyle w:val="Textonotapie"/>
      </w:pPr>
      <w:r>
        <w:rPr>
          <w:rStyle w:val="Refdenotaalpie"/>
        </w:rPr>
        <w:footnoteRef/>
      </w:r>
      <w:r>
        <w:t xml:space="preserve"> </w:t>
      </w:r>
      <w:r w:rsidRPr="00F844E6">
        <w:t xml:space="preserve">“Costa Rica es el segundo país con mayor obesidad de América Latina”. Elmundo.cr. Publicado el 12 de noviembre de 2018. Disponible en: </w:t>
      </w:r>
      <w:hyperlink r:id="rId4" w:history="1">
        <w:r w:rsidRPr="003C1F79">
          <w:rPr>
            <w:rStyle w:val="Hipervnculo1"/>
          </w:rPr>
          <w:t>https://www.elmundo.cr/costa-rica/costa-rica-es-el-segundo-pais-con-mayor-obesidad-de-america-latina/</w:t>
        </w:r>
      </w:hyperlink>
      <w:r>
        <w:t xml:space="preserve"> </w:t>
      </w:r>
      <w:r w:rsidRPr="00F844E6">
        <w:t xml:space="preserve"> Consultado el 24 de abril de 2020.</w:t>
      </w:r>
    </w:p>
  </w:footnote>
  <w:footnote w:id="12">
    <w:p w:rsidR="007B5DEA" w:rsidRDefault="007B5DEA" w:rsidP="007B5DEA">
      <w:pPr>
        <w:pStyle w:val="Textonotapie"/>
      </w:pPr>
      <w:r>
        <w:rPr>
          <w:rStyle w:val="Refdenotaalpie"/>
        </w:rPr>
        <w:footnoteRef/>
      </w:r>
      <w:r>
        <w:t xml:space="preserve"> Ídem. </w:t>
      </w:r>
    </w:p>
  </w:footnote>
  <w:footnote w:id="13">
    <w:p w:rsidR="007B5DEA" w:rsidRDefault="007B5DEA" w:rsidP="007B5DEA">
      <w:pPr>
        <w:pStyle w:val="Textonotapie"/>
      </w:pPr>
      <w:r>
        <w:rPr>
          <w:rStyle w:val="Refdenotaalpie"/>
        </w:rPr>
        <w:footnoteRef/>
      </w:r>
      <w:r>
        <w:t xml:space="preserve"> Ídem. </w:t>
      </w:r>
    </w:p>
  </w:footnote>
  <w:footnote w:id="14">
    <w:p w:rsidR="007B5DEA" w:rsidRDefault="007B5DEA" w:rsidP="007B5DEA">
      <w:pPr>
        <w:pStyle w:val="Textonotapie"/>
        <w:jc w:val="both"/>
      </w:pPr>
      <w:r>
        <w:rPr>
          <w:rStyle w:val="Refdenotaalpie"/>
        </w:rPr>
        <w:footnoteRef/>
      </w:r>
      <w:r>
        <w:t xml:space="preserve"> </w:t>
      </w:r>
      <w:r w:rsidRPr="00687893">
        <w:t xml:space="preserve">Riso Patrón, Verónica et al. (2018) “Etiquetado Nutricional Frontal de Alimentos”. Programa Nacional de Alimentación Saludable y Prevención de Obesidad de la Secretaría de Gobierno de Salud de la República Argentina. Disponible en: </w:t>
      </w:r>
      <w:hyperlink r:id="rId5" w:history="1">
        <w:r w:rsidRPr="003C1F79">
          <w:rPr>
            <w:rStyle w:val="Hipervnculo1"/>
          </w:rPr>
          <w:t>http://www.msal.gob.ar/images/stories/bes/graficos/0000001380cnt-2019-06_etiquedato-nutricional-frontal-alimentos.pdf</w:t>
        </w:r>
      </w:hyperlink>
      <w:r>
        <w:t xml:space="preserve"> </w:t>
      </w:r>
      <w:r w:rsidRPr="00687893">
        <w:t xml:space="preserve">  Consultado el 24 de abril de 2020.</w:t>
      </w:r>
    </w:p>
  </w:footnote>
  <w:footnote w:id="15">
    <w:p w:rsidR="007B5DEA" w:rsidRDefault="007B5DEA" w:rsidP="007B5DEA">
      <w:pPr>
        <w:pStyle w:val="Textonotapie"/>
      </w:pPr>
      <w:r>
        <w:rPr>
          <w:rStyle w:val="Refdenotaalpie"/>
        </w:rPr>
        <w:footnoteRef/>
      </w:r>
      <w:r>
        <w:t xml:space="preserve"> Ídem. </w:t>
      </w:r>
    </w:p>
  </w:footnote>
  <w:footnote w:id="16">
    <w:p w:rsidR="007B5DEA" w:rsidRDefault="007B5DEA" w:rsidP="007B5DEA">
      <w:pPr>
        <w:pStyle w:val="Textonotapie"/>
      </w:pPr>
      <w:r>
        <w:rPr>
          <w:rStyle w:val="Refdenotaalpie"/>
        </w:rPr>
        <w:footnoteRef/>
      </w:r>
      <w:r>
        <w:t xml:space="preserve"> Ídem. </w:t>
      </w:r>
    </w:p>
  </w:footnote>
  <w:footnote w:id="17">
    <w:p w:rsidR="007B5DEA" w:rsidRPr="00687893" w:rsidRDefault="007B5DEA" w:rsidP="007B5DEA">
      <w:pPr>
        <w:pStyle w:val="Textonotapie"/>
      </w:pPr>
      <w:r>
        <w:rPr>
          <w:rStyle w:val="Refdenotaalpie"/>
        </w:rPr>
        <w:footnoteRef/>
      </w:r>
      <w:r>
        <w:t xml:space="preserve"> </w:t>
      </w:r>
      <w:r w:rsidRPr="00687893">
        <w:t xml:space="preserve">Organización Panamericana de la Salud. (2016). “Modelo de perfil de nutrientes de la Organización Panamericana de la Salud”. Washington, DC. OPS. Disponible en: </w:t>
      </w:r>
      <w:hyperlink r:id="rId6" w:history="1">
        <w:r w:rsidRPr="003C1F79">
          <w:rPr>
            <w:rStyle w:val="Hipervnculo1"/>
          </w:rPr>
          <w:t>https://iris.paho.org/bitstream/handle/10665.2/18622/9789275318737_spa.pdf?sequence=9&amp;isAllowed=y</w:t>
        </w:r>
      </w:hyperlink>
      <w:r>
        <w:t xml:space="preserve"> </w:t>
      </w:r>
      <w:r w:rsidRPr="00687893">
        <w:t xml:space="preserve"> Consultado el 24 de abril de 2020.</w:t>
      </w:r>
    </w:p>
  </w:footnote>
  <w:footnote w:id="18">
    <w:p w:rsidR="007B5DEA" w:rsidRDefault="007B5DEA" w:rsidP="007B5DEA">
      <w:pPr>
        <w:pStyle w:val="Textonotapie"/>
      </w:pPr>
      <w:r>
        <w:rPr>
          <w:rStyle w:val="Refdenotaalpie"/>
        </w:rPr>
        <w:footnoteRef/>
      </w:r>
      <w:r>
        <w:t xml:space="preserve"> </w:t>
      </w:r>
      <w:r w:rsidRPr="0021151C">
        <w:t>Riso Patrón, Verónica et al.</w:t>
      </w:r>
      <w:r>
        <w:t xml:space="preserve"> Op. Cit. </w:t>
      </w:r>
    </w:p>
  </w:footnote>
  <w:footnote w:id="19">
    <w:p w:rsidR="007B5DEA" w:rsidRPr="0021151C" w:rsidRDefault="007B5DEA" w:rsidP="007B5DEA">
      <w:pPr>
        <w:pStyle w:val="Textonotapie"/>
      </w:pPr>
      <w:r>
        <w:rPr>
          <w:rStyle w:val="Refdenotaalpie"/>
        </w:rPr>
        <w:footnoteRef/>
      </w:r>
      <w:r>
        <w:t xml:space="preserve"> </w:t>
      </w:r>
      <w:r w:rsidRPr="0021151C">
        <w:t>Morales, Cristian y Malo, Miguel</w:t>
      </w:r>
      <w:r>
        <w:t xml:space="preserve">. Op. Cit. </w:t>
      </w:r>
    </w:p>
  </w:footnote>
  <w:footnote w:id="20">
    <w:p w:rsidR="007B5DEA" w:rsidRDefault="007B5DEA" w:rsidP="007B5DEA">
      <w:pPr>
        <w:pStyle w:val="Textonotapie"/>
      </w:pPr>
      <w:r>
        <w:rPr>
          <w:rStyle w:val="Refdenotaalpie"/>
        </w:rPr>
        <w:footnoteRef/>
      </w:r>
      <w:r>
        <w:t xml:space="preserve"> Ídem. </w:t>
      </w:r>
    </w:p>
  </w:footnote>
  <w:footnote w:id="21">
    <w:p w:rsidR="007B5DEA" w:rsidRDefault="007B5DEA" w:rsidP="007B5DEA">
      <w:pPr>
        <w:pStyle w:val="Textonotapie"/>
      </w:pPr>
      <w:r>
        <w:rPr>
          <w:rStyle w:val="Refdenotaalpie"/>
        </w:rPr>
        <w:footnoteRef/>
      </w:r>
      <w:r>
        <w:t xml:space="preserve"> Ídem.</w:t>
      </w:r>
    </w:p>
  </w:footnote>
  <w:footnote w:id="22">
    <w:p w:rsidR="007B5DEA" w:rsidRDefault="007B5DEA" w:rsidP="007B5DEA">
      <w:pPr>
        <w:pStyle w:val="Textonotapie"/>
      </w:pPr>
      <w:r>
        <w:rPr>
          <w:rStyle w:val="Refdenotaalpie"/>
        </w:rPr>
        <w:footnoteRef/>
      </w:r>
      <w:r>
        <w:t xml:space="preserve"> Ídem. </w:t>
      </w:r>
    </w:p>
  </w:footnote>
  <w:footnote w:id="23">
    <w:p w:rsidR="007B5DEA" w:rsidRDefault="007B5DEA" w:rsidP="007B5DEA">
      <w:pPr>
        <w:pStyle w:val="Textonotapie"/>
      </w:pPr>
      <w:r>
        <w:rPr>
          <w:rStyle w:val="Refdenotaalpie"/>
        </w:rPr>
        <w:footnoteRef/>
      </w:r>
      <w:r>
        <w:t xml:space="preserve"> Ídem.</w:t>
      </w:r>
    </w:p>
  </w:footnote>
  <w:footnote w:id="24">
    <w:p w:rsidR="007B5DEA" w:rsidRDefault="007B5DEA" w:rsidP="007B5DEA">
      <w:pPr>
        <w:pStyle w:val="Textonotapie"/>
      </w:pPr>
      <w:r>
        <w:rPr>
          <w:rStyle w:val="Refdenotaalpie"/>
        </w:rPr>
        <w:footnoteRef/>
      </w:r>
      <w:r>
        <w:t xml:space="preserve"> Ídem.</w:t>
      </w:r>
    </w:p>
  </w:footnote>
  <w:footnote w:id="25">
    <w:p w:rsidR="007B5DEA" w:rsidRDefault="007B5DEA" w:rsidP="007B5DEA">
      <w:pPr>
        <w:pStyle w:val="Textonotapie"/>
      </w:pPr>
      <w:r>
        <w:rPr>
          <w:rStyle w:val="Refdenotaalpie"/>
        </w:rPr>
        <w:footnoteRef/>
      </w:r>
      <w:r>
        <w:t xml:space="preserve"> Ídem.</w:t>
      </w:r>
    </w:p>
  </w:footnote>
  <w:footnote w:id="26">
    <w:p w:rsidR="007B5DEA" w:rsidRDefault="007B5DEA" w:rsidP="007B5DEA">
      <w:pPr>
        <w:pStyle w:val="Textonotapie"/>
      </w:pPr>
      <w:r>
        <w:rPr>
          <w:rStyle w:val="Refdenotaalpie"/>
        </w:rPr>
        <w:footnoteRef/>
      </w:r>
      <w:r>
        <w:t xml:space="preserve"> Ídem.</w:t>
      </w:r>
    </w:p>
  </w:footnote>
  <w:footnote w:id="27">
    <w:p w:rsidR="007B5DEA" w:rsidRDefault="007B5DEA" w:rsidP="007B5DEA">
      <w:pPr>
        <w:pStyle w:val="Textonotapie"/>
        <w:jc w:val="both"/>
      </w:pPr>
      <w:r>
        <w:rPr>
          <w:rStyle w:val="Refdenotaalpie"/>
        </w:rPr>
        <w:footnoteRef/>
      </w:r>
      <w:r>
        <w:t xml:space="preserve"> </w:t>
      </w:r>
      <w:r w:rsidRPr="00685B0C">
        <w:t xml:space="preserve">Barquera, Simón et al. (2016). “Análisis de regulaciones y prácticas para el etiquetado de alimentos y bebidas para niños y adolescentes en algunos países de América Latina (Argentina, Chile, Costa Rica y México) y recomendaciones para facilitar la información al consumidor”. Fondo de las Naciones Unidas para la Infancia, UNICEF. Disponible en: </w:t>
      </w:r>
      <w:hyperlink r:id="rId7" w:history="1">
        <w:r w:rsidRPr="003C1F79">
          <w:rPr>
            <w:rStyle w:val="Hipervnculo1"/>
          </w:rPr>
          <w:t>https://www.unicef.org/lac/informes/an%C3%A1lisis-de-regulaciones-y-pr%C3%A1cticas-para-el-etiquetado-de-alimentos-y-bebidas</w:t>
        </w:r>
      </w:hyperlink>
      <w:r>
        <w:t xml:space="preserve"> </w:t>
      </w:r>
      <w:r w:rsidRPr="00685B0C">
        <w:t xml:space="preserve"> Consultado el 24 de abril de 2020.</w:t>
      </w:r>
    </w:p>
  </w:footnote>
  <w:footnote w:id="28">
    <w:p w:rsidR="007B5DEA" w:rsidRDefault="007B5DEA" w:rsidP="007B5DEA">
      <w:pPr>
        <w:pStyle w:val="Textonotapie"/>
      </w:pPr>
      <w:r>
        <w:rPr>
          <w:rStyle w:val="Refdenotaalpie"/>
        </w:rPr>
        <w:footnoteRef/>
      </w:r>
      <w:r>
        <w:t xml:space="preserve"> Ídem.</w:t>
      </w:r>
    </w:p>
  </w:footnote>
  <w:footnote w:id="29">
    <w:p w:rsidR="007B5DEA" w:rsidRPr="00C076D5" w:rsidRDefault="007B5DEA" w:rsidP="007B5DEA">
      <w:pPr>
        <w:pStyle w:val="Textonotapie"/>
      </w:pPr>
      <w:r>
        <w:rPr>
          <w:rStyle w:val="Refdenotaalpie"/>
        </w:rPr>
        <w:footnoteRef/>
      </w:r>
      <w:r>
        <w:t xml:space="preserve"> </w:t>
      </w:r>
      <w:r w:rsidRPr="00C076D5">
        <w:t>Riso Patrón, Verónica et al. Op. Cit.</w:t>
      </w:r>
    </w:p>
  </w:footnote>
  <w:footnote w:id="30">
    <w:p w:rsidR="007B5DEA" w:rsidRDefault="007B5DEA" w:rsidP="007B5DEA">
      <w:pPr>
        <w:pStyle w:val="Textonotapie"/>
        <w:jc w:val="both"/>
      </w:pPr>
      <w:r>
        <w:rPr>
          <w:rStyle w:val="Refdenotaalpie"/>
        </w:rPr>
        <w:footnoteRef/>
      </w:r>
      <w:r>
        <w:t xml:space="preserve"> </w:t>
      </w:r>
      <w:r w:rsidRPr="007F2DCF">
        <w:t xml:space="preserve">Baeza, Silvia (2016). “Ley 20.606 sobre composición nutricional de los alimentos y su publicidad”. Departamento de Nutrición y Alimentos Subsecretaría de Salud Pública. Disponible en: </w:t>
      </w:r>
      <w:hyperlink r:id="rId8" w:history="1">
        <w:r w:rsidRPr="003C1F79">
          <w:rPr>
            <w:rStyle w:val="Hipervnculo1"/>
          </w:rPr>
          <w:t>https://www.achipia.gob.cl/wp-content/uploads/2016/06/1-MINSAL-Ley-20.606-Dra.-Silvia-Baeza.pdf</w:t>
        </w:r>
      </w:hyperlink>
      <w:r>
        <w:t xml:space="preserve"> </w:t>
      </w:r>
      <w:r w:rsidRPr="007F2DCF">
        <w:t xml:space="preserve">  Consultado el 24 de abril de 2020.</w:t>
      </w:r>
    </w:p>
  </w:footnote>
  <w:footnote w:id="31">
    <w:p w:rsidR="007B5DEA" w:rsidRDefault="007B5DEA" w:rsidP="007B5DEA">
      <w:pPr>
        <w:pStyle w:val="Textonotapie"/>
      </w:pPr>
      <w:r>
        <w:rPr>
          <w:rStyle w:val="Refdenotaalpie"/>
        </w:rPr>
        <w:footnoteRef/>
      </w:r>
      <w:r>
        <w:t xml:space="preserve"> Ídem. </w:t>
      </w:r>
    </w:p>
  </w:footnote>
  <w:footnote w:id="32">
    <w:p w:rsidR="007B5DEA" w:rsidRPr="007F2DCF" w:rsidRDefault="007B5DEA" w:rsidP="007B5DEA">
      <w:pPr>
        <w:pStyle w:val="Textonotapie"/>
        <w:jc w:val="both"/>
        <w:rPr>
          <w:lang w:val="es-MX"/>
        </w:rPr>
      </w:pPr>
      <w:r>
        <w:rPr>
          <w:rStyle w:val="Refdenotaalpie"/>
        </w:rPr>
        <w:footnoteRef/>
      </w:r>
      <w:r>
        <w:t xml:space="preserve"> </w:t>
      </w:r>
      <w:r w:rsidRPr="007F2DCF">
        <w:rPr>
          <w:lang w:val="es-MX"/>
        </w:rPr>
        <w:t xml:space="preserve">INTA Chile. Estudio sobre evaluación de mensajes de advertencia de nutrientes críticos en el rotulado de alimentos. 2012. </w:t>
      </w:r>
      <w:hyperlink r:id="rId9" w:history="1">
        <w:r w:rsidRPr="007F2DCF">
          <w:rPr>
            <w:rStyle w:val="Hipervnculo1"/>
            <w:lang w:val="es-MX"/>
          </w:rPr>
          <w:t>https://ciperchile.cl/pdfs/2014/11/alimentos/INFORME-FINAL-MENSAJES-INTA.pdf</w:t>
        </w:r>
      </w:hyperlink>
      <w:r w:rsidRPr="007F2DCF">
        <w:rPr>
          <w:lang w:val="es-MX"/>
        </w:rPr>
        <w:t xml:space="preserve"> Consultado el 24 de abril de 2020. </w:t>
      </w:r>
    </w:p>
    <w:p w:rsidR="007B5DEA" w:rsidRDefault="007B5DEA" w:rsidP="007B5DEA">
      <w:pPr>
        <w:pStyle w:val="Textonotapie"/>
      </w:pPr>
    </w:p>
  </w:footnote>
  <w:footnote w:id="33">
    <w:p w:rsidR="005C446F" w:rsidRDefault="005C446F" w:rsidP="005C446F">
      <w:pPr>
        <w:pStyle w:val="Textonotapie"/>
        <w:jc w:val="both"/>
      </w:pPr>
      <w:r>
        <w:rPr>
          <w:rStyle w:val="Refdenotaalpie"/>
        </w:rPr>
        <w:footnoteRef/>
      </w:r>
      <w:r>
        <w:t xml:space="preserve"> “</w:t>
      </w:r>
      <w:r w:rsidRPr="005C446F">
        <w:t>Consumo de bebidas azucaradas cae en Chile tras ley de etiquetado de alimentos</w:t>
      </w:r>
      <w:r>
        <w:t xml:space="preserve">”. El Economista. Publicado el 29 de febrero de 2020. Disponible en: </w:t>
      </w:r>
      <w:hyperlink r:id="rId10" w:history="1">
        <w:r w:rsidRPr="00117952">
          <w:rPr>
            <w:rStyle w:val="Hipervnculo"/>
          </w:rPr>
          <w:t>https://www.eleconomista.com.mx/internacionales/Consumo-de-bebidas-azucaradas-cae-en-Chile-tras-ley-de-etiquetado-de-alimentos-20200229-0021.html</w:t>
        </w:r>
      </w:hyperlink>
      <w:r>
        <w:t xml:space="preserve"> Consultado el 1 de julio de 2020. </w:t>
      </w:r>
    </w:p>
  </w:footnote>
  <w:footnote w:id="34">
    <w:p w:rsidR="007B5DEA" w:rsidRDefault="007B5DEA" w:rsidP="007B5DEA">
      <w:pPr>
        <w:pStyle w:val="Textonotapie"/>
        <w:jc w:val="both"/>
      </w:pPr>
      <w:r>
        <w:rPr>
          <w:rStyle w:val="Refdenotaalpie"/>
        </w:rPr>
        <w:footnoteRef/>
      </w:r>
      <w:r>
        <w:t xml:space="preserve"> </w:t>
      </w:r>
      <w:r w:rsidRPr="007F2DCF">
        <w:rPr>
          <w:lang w:val="es-MX"/>
        </w:rPr>
        <w:t xml:space="preserve">UNICEF. Comunicado de prensa. “UNICEF: El etiquetado frontal de alimentos y bebidas aprobado en México, ‘de los mejores del mundo’”. Publicado el 5 de febrero de 2020. Disponible en: </w:t>
      </w:r>
      <w:hyperlink r:id="rId11" w:history="1">
        <w:r w:rsidRPr="007F2DCF">
          <w:rPr>
            <w:rStyle w:val="Hipervnculo1"/>
            <w:lang w:val="es-MX"/>
          </w:rPr>
          <w:t>https://www.unicef.org/mexico/comunicados-prensa/unicef-el-etiquetado-frontal-de-alimentos-y-bebidas-aprobado-en-méxico-de-los</w:t>
        </w:r>
      </w:hyperlink>
      <w:r w:rsidRPr="007F2DCF">
        <w:rPr>
          <w:lang w:val="es-MX"/>
        </w:rPr>
        <w:t xml:space="preserve"> Consultado el 24 de abril de 2020.</w:t>
      </w:r>
    </w:p>
  </w:footnote>
  <w:footnote w:id="35">
    <w:p w:rsidR="007B5DEA" w:rsidRPr="009369FB" w:rsidRDefault="007B5DEA" w:rsidP="007B5DEA">
      <w:pPr>
        <w:pStyle w:val="Textonotapie"/>
        <w:jc w:val="both"/>
      </w:pPr>
      <w:r>
        <w:rPr>
          <w:rStyle w:val="Refdenotaalpie"/>
        </w:rPr>
        <w:footnoteRef/>
      </w:r>
      <w:r>
        <w:t xml:space="preserve"> </w:t>
      </w:r>
      <w:r w:rsidRPr="009369FB">
        <w:t xml:space="preserve">“Nuevo proyecto de ley sobre etiquetado de los alimentos”. ComunicarSe. Publicado el 29 de noviembre de 2015. Disponible en: </w:t>
      </w:r>
      <w:hyperlink r:id="rId12" w:history="1">
        <w:r w:rsidRPr="003C1F79">
          <w:rPr>
            <w:rStyle w:val="Hipervnculo1"/>
          </w:rPr>
          <w:t>https://www.comunicarseweb.com/noticia/nuevo-proyecto-de-ley-sobre-etiquetado-de-los-alimentos</w:t>
        </w:r>
      </w:hyperlink>
      <w:r>
        <w:t xml:space="preserve"> </w:t>
      </w:r>
      <w:r w:rsidRPr="009369FB">
        <w:t xml:space="preserve"> Consultado el 24 de abril de 2020.</w:t>
      </w:r>
    </w:p>
  </w:footnote>
  <w:footnote w:id="36">
    <w:p w:rsidR="007B5DEA" w:rsidRDefault="007B5DEA" w:rsidP="007B5DEA">
      <w:pPr>
        <w:pStyle w:val="Textonotapie"/>
        <w:jc w:val="both"/>
      </w:pPr>
      <w:r>
        <w:rPr>
          <w:rStyle w:val="Refdenotaalpie"/>
        </w:rPr>
        <w:footnoteRef/>
      </w:r>
      <w:r>
        <w:t xml:space="preserve"> Ley 20.606. SOBRE COMPOSICIÓN NUTRICIONAL DE LOS ALIMENTOS Y SU PUBLICIDAD. Biblioteca del Congreso Nacional de Chile. Disponible en: </w:t>
      </w:r>
      <w:hyperlink r:id="rId13" w:history="1">
        <w:r w:rsidRPr="003C1F79">
          <w:rPr>
            <w:rStyle w:val="Hipervnculo1"/>
          </w:rPr>
          <w:t>https://www.leychile.cl/Navegar?idNorma=1041570&amp;idVersion=2015-11-13</w:t>
        </w:r>
      </w:hyperlink>
      <w:r>
        <w:t xml:space="preserve"> Consultado el 24 de abril de 2020. </w:t>
      </w:r>
    </w:p>
  </w:footnote>
  <w:footnote w:id="37">
    <w:p w:rsidR="007B5DEA" w:rsidRDefault="007B5DEA" w:rsidP="007B5DEA">
      <w:pPr>
        <w:pStyle w:val="Textonotapie"/>
        <w:jc w:val="both"/>
      </w:pPr>
      <w:r>
        <w:rPr>
          <w:rStyle w:val="Refdenotaalpie"/>
        </w:rPr>
        <w:footnoteRef/>
      </w:r>
      <w:r>
        <w:t xml:space="preserve"> Norma Oficial Mexicana NOM-051-SCFI/SSA1-2010, Especificaciones generales de etiquetado para alimentos y bebidas no alcohólicas preenvasados -Información comercial y sanitaria. Publicada el 5 de abril de 2010. Disponible en: </w:t>
      </w:r>
      <w:hyperlink r:id="rId14" w:history="1">
        <w:r w:rsidRPr="003C1F79">
          <w:rPr>
            <w:rStyle w:val="Hipervnculo1"/>
          </w:rPr>
          <w:t>https://www.dof.gob.mx/2020/SEECO/NOM_051.pdf</w:t>
        </w:r>
      </w:hyperlink>
      <w:r>
        <w:t xml:space="preserve"> Consultado el 24 de abril de 2020. </w:t>
      </w:r>
    </w:p>
  </w:footnote>
  <w:footnote w:id="38">
    <w:p w:rsidR="000B4A32" w:rsidRDefault="000B4A32" w:rsidP="009F5219">
      <w:pPr>
        <w:pStyle w:val="Textonotapie"/>
        <w:jc w:val="both"/>
      </w:pPr>
      <w:r>
        <w:rPr>
          <w:rStyle w:val="Refdenotaalpie"/>
        </w:rPr>
        <w:footnoteRef/>
      </w:r>
      <w:r>
        <w:t xml:space="preserve"> “</w:t>
      </w:r>
      <w:r w:rsidRPr="000B4A32">
        <w:t>Nueva normalidad implica cambios en hábitos alimenticios</w:t>
      </w:r>
      <w:r>
        <w:t xml:space="preserve">”. CRHoy.com. Publicado el 17 de mayo de 2020. Disponible en: </w:t>
      </w:r>
      <w:hyperlink r:id="rId15" w:history="1">
        <w:r w:rsidRPr="003C3F68">
          <w:rPr>
            <w:rStyle w:val="Hipervnculo"/>
          </w:rPr>
          <w:t>https://www.crhoy.com/nacionales/nueva-normalidad-implica-cambios-en-habitos-alimenticios/</w:t>
        </w:r>
      </w:hyperlink>
      <w:r>
        <w:t xml:space="preserve"> Consultado el 20 de mayo de 2020. </w:t>
      </w:r>
    </w:p>
  </w:footnote>
  <w:footnote w:id="39">
    <w:p w:rsidR="000B4A32" w:rsidRDefault="000B4A32">
      <w:pPr>
        <w:pStyle w:val="Textonotapie"/>
      </w:pPr>
      <w:r>
        <w:rPr>
          <w:rStyle w:val="Refdenotaalpie"/>
        </w:rPr>
        <w:footnoteRef/>
      </w:r>
      <w:r>
        <w:t xml:space="preserve"> Ídem. </w:t>
      </w:r>
    </w:p>
  </w:footnote>
  <w:footnote w:id="40">
    <w:p w:rsidR="000B4A32" w:rsidRDefault="000B4A32">
      <w:pPr>
        <w:pStyle w:val="Textonotapie"/>
      </w:pPr>
      <w:r>
        <w:rPr>
          <w:rStyle w:val="Refdenotaalpie"/>
        </w:rPr>
        <w:footnoteRef/>
      </w:r>
      <w:r>
        <w:t xml:space="preserve"> Ídem. </w:t>
      </w:r>
    </w:p>
  </w:footnote>
  <w:footnote w:id="41">
    <w:p w:rsidR="00D172FD" w:rsidRPr="00D172FD" w:rsidRDefault="00D172FD" w:rsidP="00D172FD">
      <w:pPr>
        <w:pStyle w:val="Textonotapie"/>
        <w:jc w:val="both"/>
      </w:pPr>
      <w:r>
        <w:rPr>
          <w:rStyle w:val="Refdenotaalpie"/>
        </w:rPr>
        <w:footnoteRef/>
      </w:r>
      <w:r>
        <w:t xml:space="preserve"> </w:t>
      </w:r>
      <w:r w:rsidRPr="00D172FD">
        <w:t>Cámara Costarricense de la Industria Alimentaria</w:t>
      </w:r>
      <w:r>
        <w:t xml:space="preserve">. (s.f.). </w:t>
      </w:r>
      <w:r w:rsidRPr="00D172FD">
        <w:rPr>
          <w:i/>
        </w:rPr>
        <w:t>“Empresas de la Industria Alimentaria afianzan compromiso para cumplir con Programa Nacional de Reducción de Sodio”</w:t>
      </w:r>
      <w:r>
        <w:rPr>
          <w:i/>
        </w:rPr>
        <w:t xml:space="preserve">. </w:t>
      </w:r>
      <w:r>
        <w:t xml:space="preserve">Disponible en: </w:t>
      </w:r>
      <w:hyperlink r:id="rId16" w:history="1">
        <w:r w:rsidRPr="00670B0B">
          <w:rPr>
            <w:rStyle w:val="Hipervnculo"/>
          </w:rPr>
          <w:t>http://www.cacia.org/empresas-de-la-industria-alimentaria-afianzan-compromiso-para-cumplir-con-programa-nacional-de-reduccion-de-sodio/</w:t>
        </w:r>
      </w:hyperlink>
      <w:r>
        <w:t xml:space="preserve"> Consultado el 22 de mayo de 2020. </w:t>
      </w:r>
    </w:p>
  </w:footnote>
  <w:footnote w:id="42">
    <w:p w:rsidR="00EB1F22" w:rsidRDefault="00EB1F22">
      <w:pPr>
        <w:pStyle w:val="Textonotapie"/>
      </w:pPr>
      <w:r>
        <w:rPr>
          <w:rStyle w:val="Refdenotaalpie"/>
        </w:rPr>
        <w:footnoteRef/>
      </w:r>
      <w:r>
        <w:t xml:space="preserve"> </w:t>
      </w:r>
      <w:r w:rsidRPr="00EB1F22">
        <w:t>Ministerio de Salud. (2014).</w:t>
      </w:r>
      <w:r>
        <w:t xml:space="preserve"> Op. Cit. Pág. 12. </w:t>
      </w:r>
    </w:p>
  </w:footnote>
  <w:footnote w:id="43">
    <w:p w:rsidR="007B5DEA" w:rsidRDefault="007B5DEA" w:rsidP="007B5DEA">
      <w:pPr>
        <w:pStyle w:val="Textonotapie"/>
      </w:pPr>
      <w:r>
        <w:rPr>
          <w:rStyle w:val="Refdenotaalpie"/>
        </w:rPr>
        <w:footnoteRef/>
      </w:r>
      <w:r>
        <w:t xml:space="preserve"> Según consulta en el Sistema de Informa</w:t>
      </w:r>
      <w:r w:rsidR="00AB6F6B">
        <w:t xml:space="preserve">ción Legislativa realizada el </w:t>
      </w:r>
      <w:r w:rsidR="00CD3A1E">
        <w:t xml:space="preserve">1 de julio </w:t>
      </w:r>
      <w:r>
        <w:t xml:space="preserve">de 2020 </w:t>
      </w:r>
      <w:hyperlink r:id="rId17" w:history="1">
        <w:r w:rsidRPr="003C1F79">
          <w:rPr>
            <w:rStyle w:val="Hipervnculo1"/>
          </w:rPr>
          <w:t>http://www.asamblea.go.cr/Centro_de_informacion/Consultas_SIL/SitePages/ConsultaProyectos.aspx</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D46" w:rsidRPr="00582D46" w:rsidRDefault="007B5DEA" w:rsidP="00582D46">
    <w:pPr>
      <w:pStyle w:val="Encabezado"/>
      <w:pBdr>
        <w:bottom w:val="single" w:sz="4" w:space="1" w:color="auto"/>
      </w:pBdr>
      <w:tabs>
        <w:tab w:val="clear" w:pos="4419"/>
        <w:tab w:val="clear" w:pos="8838"/>
      </w:tabs>
    </w:pPr>
    <w:r>
      <w:rPr>
        <w:rFonts w:ascii="Arial" w:hAnsi="Arial" w:cs="Arial"/>
        <w:sz w:val="20"/>
      </w:rPr>
      <w:t xml:space="preserve">Expediente N.° </w:t>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tab/>
    </w:r>
    <w:r w:rsidR="009A2BB4" w:rsidRPr="00582D46">
      <w:rPr>
        <w:rFonts w:ascii="Arial" w:hAnsi="Arial" w:cs="Arial"/>
        <w:sz w:val="20"/>
      </w:rPr>
      <w:fldChar w:fldCharType="begin"/>
    </w:r>
    <w:r w:rsidR="009A2BB4" w:rsidRPr="00582D46">
      <w:rPr>
        <w:rFonts w:ascii="Arial" w:hAnsi="Arial" w:cs="Arial"/>
        <w:sz w:val="20"/>
      </w:rPr>
      <w:instrText xml:space="preserve"> PAGE  \* MERGEFORMAT </w:instrText>
    </w:r>
    <w:r w:rsidR="009A2BB4" w:rsidRPr="00582D46">
      <w:rPr>
        <w:rFonts w:ascii="Arial" w:hAnsi="Arial" w:cs="Arial"/>
        <w:sz w:val="20"/>
      </w:rPr>
      <w:fldChar w:fldCharType="separate"/>
    </w:r>
    <w:r w:rsidR="004957EE">
      <w:rPr>
        <w:rFonts w:ascii="Arial" w:hAnsi="Arial" w:cs="Arial"/>
        <w:noProof/>
        <w:sz w:val="20"/>
      </w:rPr>
      <w:t>2</w:t>
    </w:r>
    <w:r w:rsidR="009A2BB4" w:rsidRPr="00582D46">
      <w:rPr>
        <w:rFonts w:ascii="Arial" w:hAnsi="Arial" w:cs="Arial"/>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50079"/>
    <w:multiLevelType w:val="hybridMultilevel"/>
    <w:tmpl w:val="A854472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9175988"/>
    <w:multiLevelType w:val="hybridMultilevel"/>
    <w:tmpl w:val="06E24D9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21C12C1D"/>
    <w:multiLevelType w:val="hybridMultilevel"/>
    <w:tmpl w:val="C3202FB6"/>
    <w:lvl w:ilvl="0" w:tplc="140A0001">
      <w:start w:val="1"/>
      <w:numFmt w:val="bullet"/>
      <w:lvlText w:val=""/>
      <w:lvlJc w:val="left"/>
      <w:pPr>
        <w:ind w:left="720" w:hanging="360"/>
      </w:pPr>
      <w:rPr>
        <w:rFonts w:ascii="Symbol" w:hAnsi="Symbol" w:hint="default"/>
      </w:rPr>
    </w:lvl>
    <w:lvl w:ilvl="1" w:tplc="6B925A84">
      <w:numFmt w:val="bullet"/>
      <w:lvlText w:val="•"/>
      <w:lvlJc w:val="left"/>
      <w:pPr>
        <w:ind w:left="1440" w:hanging="360"/>
      </w:pPr>
      <w:rPr>
        <w:rFonts w:ascii="Calibri" w:eastAsiaTheme="minorHAnsi" w:hAnsi="Calibri" w:cs="Calibri"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66DB3239"/>
    <w:multiLevelType w:val="hybridMultilevel"/>
    <w:tmpl w:val="067E49C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960"/>
    <w:rsid w:val="00064938"/>
    <w:rsid w:val="000B4A32"/>
    <w:rsid w:val="000D0BEC"/>
    <w:rsid w:val="000E1512"/>
    <w:rsid w:val="000F35EE"/>
    <w:rsid w:val="00105CFD"/>
    <w:rsid w:val="001268EA"/>
    <w:rsid w:val="001617FD"/>
    <w:rsid w:val="00193471"/>
    <w:rsid w:val="00194B87"/>
    <w:rsid w:val="00197661"/>
    <w:rsid w:val="001A5960"/>
    <w:rsid w:val="001D1428"/>
    <w:rsid w:val="00250175"/>
    <w:rsid w:val="00257C32"/>
    <w:rsid w:val="00344C23"/>
    <w:rsid w:val="00363366"/>
    <w:rsid w:val="003A5530"/>
    <w:rsid w:val="003B0597"/>
    <w:rsid w:val="00433C4B"/>
    <w:rsid w:val="00451B04"/>
    <w:rsid w:val="00476F02"/>
    <w:rsid w:val="004957EE"/>
    <w:rsid w:val="004E2E79"/>
    <w:rsid w:val="004F3BB6"/>
    <w:rsid w:val="005739A9"/>
    <w:rsid w:val="0058346E"/>
    <w:rsid w:val="005C446F"/>
    <w:rsid w:val="005E4502"/>
    <w:rsid w:val="005F4245"/>
    <w:rsid w:val="007037D4"/>
    <w:rsid w:val="00714820"/>
    <w:rsid w:val="007744C8"/>
    <w:rsid w:val="007B3D64"/>
    <w:rsid w:val="007B5DEA"/>
    <w:rsid w:val="00815ACA"/>
    <w:rsid w:val="008263AE"/>
    <w:rsid w:val="008303EA"/>
    <w:rsid w:val="00833600"/>
    <w:rsid w:val="00894D7B"/>
    <w:rsid w:val="00895F11"/>
    <w:rsid w:val="008B34B5"/>
    <w:rsid w:val="008B6FD9"/>
    <w:rsid w:val="008C0408"/>
    <w:rsid w:val="00972A29"/>
    <w:rsid w:val="009A2BB4"/>
    <w:rsid w:val="009C6BE4"/>
    <w:rsid w:val="009F5219"/>
    <w:rsid w:val="00A0409D"/>
    <w:rsid w:val="00A33423"/>
    <w:rsid w:val="00A44882"/>
    <w:rsid w:val="00A51C43"/>
    <w:rsid w:val="00AB6F6B"/>
    <w:rsid w:val="00AD129D"/>
    <w:rsid w:val="00BA7C62"/>
    <w:rsid w:val="00BD663F"/>
    <w:rsid w:val="00CC21FC"/>
    <w:rsid w:val="00CD3A1E"/>
    <w:rsid w:val="00D00D38"/>
    <w:rsid w:val="00D172FD"/>
    <w:rsid w:val="00D20508"/>
    <w:rsid w:val="00D42FFA"/>
    <w:rsid w:val="00D92426"/>
    <w:rsid w:val="00E10B04"/>
    <w:rsid w:val="00E16003"/>
    <w:rsid w:val="00EB1F22"/>
    <w:rsid w:val="00EB4F75"/>
    <w:rsid w:val="00F4307F"/>
    <w:rsid w:val="00F61C7C"/>
    <w:rsid w:val="00F6742A"/>
    <w:rsid w:val="00FC577D"/>
    <w:rsid w:val="00FE105D"/>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BC8AC"/>
  <w15:docId w15:val="{7CD4EFA6-72DD-4366-8558-2F312800F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B5D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B5DEA"/>
  </w:style>
  <w:style w:type="paragraph" w:styleId="Piedepgina">
    <w:name w:val="footer"/>
    <w:basedOn w:val="Normal"/>
    <w:link w:val="PiedepginaCar"/>
    <w:uiPriority w:val="99"/>
    <w:unhideWhenUsed/>
    <w:rsid w:val="007B5D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B5DEA"/>
  </w:style>
  <w:style w:type="character" w:customStyle="1" w:styleId="Hipervnculo1">
    <w:name w:val="Hipervínculo1"/>
    <w:basedOn w:val="Fuentedeprrafopredeter"/>
    <w:uiPriority w:val="99"/>
    <w:unhideWhenUsed/>
    <w:rsid w:val="007B5DEA"/>
    <w:rPr>
      <w:color w:val="0000FF"/>
      <w:u w:val="single"/>
    </w:rPr>
  </w:style>
  <w:style w:type="paragraph" w:styleId="Textonotapie">
    <w:name w:val="footnote text"/>
    <w:basedOn w:val="Normal"/>
    <w:link w:val="TextonotapieCar"/>
    <w:uiPriority w:val="99"/>
    <w:unhideWhenUsed/>
    <w:rsid w:val="007B5DEA"/>
    <w:pPr>
      <w:spacing w:after="0" w:line="240" w:lineRule="auto"/>
    </w:pPr>
    <w:rPr>
      <w:sz w:val="20"/>
      <w:szCs w:val="20"/>
    </w:rPr>
  </w:style>
  <w:style w:type="character" w:customStyle="1" w:styleId="TextonotapieCar">
    <w:name w:val="Texto nota pie Car"/>
    <w:basedOn w:val="Fuentedeprrafopredeter"/>
    <w:link w:val="Textonotapie"/>
    <w:uiPriority w:val="99"/>
    <w:rsid w:val="007B5DEA"/>
    <w:rPr>
      <w:sz w:val="20"/>
      <w:szCs w:val="20"/>
    </w:rPr>
  </w:style>
  <w:style w:type="character" w:styleId="Refdenotaalpie">
    <w:name w:val="footnote reference"/>
    <w:basedOn w:val="Fuentedeprrafopredeter"/>
    <w:uiPriority w:val="99"/>
    <w:semiHidden/>
    <w:unhideWhenUsed/>
    <w:rsid w:val="007B5DEA"/>
    <w:rPr>
      <w:vertAlign w:val="superscript"/>
    </w:rPr>
  </w:style>
  <w:style w:type="character" w:styleId="Hipervnculo">
    <w:name w:val="Hyperlink"/>
    <w:basedOn w:val="Fuentedeprrafopredeter"/>
    <w:uiPriority w:val="99"/>
    <w:unhideWhenUsed/>
    <w:rsid w:val="007B5DEA"/>
    <w:rPr>
      <w:color w:val="0563C1" w:themeColor="hyperlink"/>
      <w:u w:val="single"/>
    </w:rPr>
  </w:style>
  <w:style w:type="paragraph" w:styleId="Prrafodelista">
    <w:name w:val="List Paragraph"/>
    <w:basedOn w:val="Normal"/>
    <w:uiPriority w:val="34"/>
    <w:qFormat/>
    <w:rsid w:val="004F3BB6"/>
    <w:pPr>
      <w:ind w:left="720"/>
      <w:contextualSpacing/>
    </w:pPr>
  </w:style>
  <w:style w:type="character" w:styleId="Hipervnculovisitado">
    <w:name w:val="FollowedHyperlink"/>
    <w:basedOn w:val="Fuentedeprrafopredeter"/>
    <w:uiPriority w:val="99"/>
    <w:semiHidden/>
    <w:unhideWhenUsed/>
    <w:rsid w:val="00D42FF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g"/><Relationship Id="rId18" Type="http://schemas.openxmlformats.org/officeDocument/2006/relationships/hyperlink" Target="https://www.mep.go.cr/sites/default/files/page/adjuntos/informe-ejecutivo-censo-escolar-peso-cortofinal.pdf" TargetMode="External"/><Relationship Id="rId26" Type="http://schemas.openxmlformats.org/officeDocument/2006/relationships/hyperlink" Target="https://www.comunicarseweb.com/noticia/nuevo-proyecto-de-ley-sobre-etiquetado-de-los-alimentos" TargetMode="External"/><Relationship Id="rId3" Type="http://schemas.openxmlformats.org/officeDocument/2006/relationships/styles" Target="styles.xml"/><Relationship Id="rId21" Type="http://schemas.openxmlformats.org/officeDocument/2006/relationships/hyperlink" Target="https://ciperchile.cl/pdfs/2014/11/alimentos/INFORME-FINAL-MENSAJES-INTA.pdf" TargetMode="Externa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http://www.cacia.org/empresas-de-la-industria-alimentaria-afianzan-compromiso-para-cumplir-con-programa-nacional-de-reduccion-de-sodio/" TargetMode="External"/><Relationship Id="rId25" Type="http://schemas.openxmlformats.org/officeDocument/2006/relationships/hyperlink" Target="https://www.crhoy.com/nacionales/nueva-normalidad-implica-cambios-en-habitos-alimenticios/" TargetMode="External"/><Relationship Id="rId2" Type="http://schemas.openxmlformats.org/officeDocument/2006/relationships/numbering" Target="numbering.xml"/><Relationship Id="rId16" Type="http://schemas.openxmlformats.org/officeDocument/2006/relationships/hyperlink" Target="https://www.achipia.gob.cl/wp-content/uploads/2016/06/1-MINSAL-Ley-20.606-Dra.-Silvia-Baeza.pdf" TargetMode="External"/><Relationship Id="rId20" Type="http://schemas.openxmlformats.org/officeDocument/2006/relationships/hyperlink" Target="https://www.elmundo.cr/costa-rica/costa-rica-es-el-segundo-pais-con-mayor-obesidad-de-america-latina/" TargetMode="External"/><Relationship Id="rId29" Type="http://schemas.openxmlformats.org/officeDocument/2006/relationships/hyperlink" Target="http://www.msal.gob.ar/images/stories/bes/graficos/0000001380cnt-2019-06_etiquedato-nutricional-frontal-alimento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hyperlink" Target="https://www.dof.gob.mx/2020/SEECO/NOM_051.pd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nicef.org/lac/informes/an%C3%A1lisis-de-regulaciones-y-pr%C3%A1cticas-para-el-etiquetado-de-alimentos-y-bebidas" TargetMode="External"/><Relationship Id="rId23" Type="http://schemas.openxmlformats.org/officeDocument/2006/relationships/hyperlink" Target="http://comisiones.senado.gob.mx/salud/docs/etiquetado/alimentos.pdf" TargetMode="External"/><Relationship Id="rId28" Type="http://schemas.openxmlformats.org/officeDocument/2006/relationships/hyperlink" Target="https://ideas.llorenteycuenca.com/wp-content/uploads/sites/5/2016/05/160504_DI_informe_alimentacion_chile_ESP.pdf" TargetMode="External"/><Relationship Id="rId10" Type="http://schemas.openxmlformats.org/officeDocument/2006/relationships/image" Target="media/image2.jpg"/><Relationship Id="rId19" Type="http://schemas.openxmlformats.org/officeDocument/2006/relationships/hyperlink" Target="https://www.eleconomista.com.mx/internacionales/Consumo-de-bebidas-azucaradas-cae-en-Chile-tras-ley-de-etiquetado-de-alimentos-20200229-0021.htm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www.asamblea.go.cr/Centro_de_informacion/Consultas_SIL/SitePages/ConsultaProyectos.aspx" TargetMode="External"/><Relationship Id="rId22" Type="http://schemas.openxmlformats.org/officeDocument/2006/relationships/hyperlink" Target="https://www.leychile.cl/Navegar?idNorma=1041570&amp;idVersion=2015-11-13" TargetMode="External"/><Relationship Id="rId27" Type="http://schemas.openxmlformats.org/officeDocument/2006/relationships/hyperlink" Target="https://iris.paho.org/bitstream/handle/10665.2/18622/9789275318737_spa.pdf?sequence=9&amp;isAllowed=y" TargetMode="External"/><Relationship Id="rId30" Type="http://schemas.openxmlformats.org/officeDocument/2006/relationships/hyperlink" Target="https://www.unicef.org/mexico/comunicados-prensa/unicef-el-etiquetado-frontal-de-alimentos-y-bebidas-aprobado-en-m&#233;xico-de-lo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achipia.gob.cl/wp-content/uploads/2016/06/1-MINSAL-Ley-20.606-Dra.-Silvia-Baeza.pdf" TargetMode="External"/><Relationship Id="rId13" Type="http://schemas.openxmlformats.org/officeDocument/2006/relationships/hyperlink" Target="https://www.leychile.cl/Navegar?idNorma=1041570&amp;idVersion=2015-11-13" TargetMode="External"/><Relationship Id="rId3" Type="http://schemas.openxmlformats.org/officeDocument/2006/relationships/hyperlink" Target="https://www.mep.go.cr/sites/default/files/page/adjuntos/informe-ejecutivo-censo-escolar-peso-cortofinal.pdf" TargetMode="External"/><Relationship Id="rId7" Type="http://schemas.openxmlformats.org/officeDocument/2006/relationships/hyperlink" Target="https://www.unicef.org/lac/informes/an%C3%A1lisis-de-regulaciones-y-pr%C3%A1cticas-para-el-etiquetado-de-alimentos-y-bebidas" TargetMode="External"/><Relationship Id="rId12" Type="http://schemas.openxmlformats.org/officeDocument/2006/relationships/hyperlink" Target="https://www.comunicarseweb.com/noticia/nuevo-proyecto-de-ley-sobre-etiquetado-de-los-alimentos" TargetMode="External"/><Relationship Id="rId17" Type="http://schemas.openxmlformats.org/officeDocument/2006/relationships/hyperlink" Target="http://www.asamblea.go.cr/Centro_de_informacion/Consultas_SIL/SitePages/ConsultaProyectos.aspx" TargetMode="External"/><Relationship Id="rId2" Type="http://schemas.openxmlformats.org/officeDocument/2006/relationships/hyperlink" Target="https://ideas.llorenteycuenca.com/wp-content/uploads/sites/5/2016/05/160504_DI_informe_alimentacion_chile_ESP.pdf" TargetMode="External"/><Relationship Id="rId16" Type="http://schemas.openxmlformats.org/officeDocument/2006/relationships/hyperlink" Target="http://www.cacia.org/empresas-de-la-industria-alimentaria-afianzan-compromiso-para-cumplir-con-programa-nacional-de-reduccion-de-sodio/" TargetMode="External"/><Relationship Id="rId1" Type="http://schemas.openxmlformats.org/officeDocument/2006/relationships/hyperlink" Target="http://comisiones.senado.gob.mx/salud/docs/etiquetado/alimentos.pdf" TargetMode="External"/><Relationship Id="rId6" Type="http://schemas.openxmlformats.org/officeDocument/2006/relationships/hyperlink" Target="https://iris.paho.org/bitstream/handle/10665.2/18622/9789275318737_spa.pdf?sequence=9&amp;isAllowed=y" TargetMode="External"/><Relationship Id="rId11" Type="http://schemas.openxmlformats.org/officeDocument/2006/relationships/hyperlink" Target="https://www.unicef.org/mexico/comunicados-prensa/unicef-el-etiquetado-frontal-de-alimentos-y-bebidas-aprobado-en-m&#233;xico-de-los" TargetMode="External"/><Relationship Id="rId5" Type="http://schemas.openxmlformats.org/officeDocument/2006/relationships/hyperlink" Target="http://www.msal.gob.ar/images/stories/bes/graficos/0000001380cnt-2019-06_etiquedato-nutricional-frontal-alimentos.pdf" TargetMode="External"/><Relationship Id="rId15" Type="http://schemas.openxmlformats.org/officeDocument/2006/relationships/hyperlink" Target="https://www.crhoy.com/nacionales/nueva-normalidad-implica-cambios-en-habitos-alimenticios/" TargetMode="External"/><Relationship Id="rId10" Type="http://schemas.openxmlformats.org/officeDocument/2006/relationships/hyperlink" Target="https://www.eleconomista.com.mx/internacionales/Consumo-de-bebidas-azucaradas-cae-en-Chile-tras-ley-de-etiquetado-de-alimentos-20200229-0021.html" TargetMode="External"/><Relationship Id="rId4" Type="http://schemas.openxmlformats.org/officeDocument/2006/relationships/hyperlink" Target="https://www.elmundo.cr/costa-rica/costa-rica-es-el-segundo-pais-con-mayor-obesidad-de-america-latina/" TargetMode="External"/><Relationship Id="rId9" Type="http://schemas.openxmlformats.org/officeDocument/2006/relationships/hyperlink" Target="https://ciperchile.cl/pdfs/2014/11/alimentos/INFORME-FINAL-MENSAJES-INTA.pdf" TargetMode="External"/><Relationship Id="rId14" Type="http://schemas.openxmlformats.org/officeDocument/2006/relationships/hyperlink" Target="https://www.dof.gob.mx/2020/SEECO/NOM_051.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C4D91-7AC3-4E14-8988-8C8D9BC8D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6557</Words>
  <Characters>36069</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Tonatiuh Solano Herrera</dc:creator>
  <cp:lastModifiedBy>Margarita Matarrita Rojas</cp:lastModifiedBy>
  <cp:revision>2</cp:revision>
  <dcterms:created xsi:type="dcterms:W3CDTF">2020-07-01T20:54:00Z</dcterms:created>
  <dcterms:modified xsi:type="dcterms:W3CDTF">2020-07-01T20:54:00Z</dcterms:modified>
</cp:coreProperties>
</file>